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94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>
        <w:trPr/>
        <w:tc>
          <w:tcPr>
            <w:tcW w:w="4955" w:type="dxa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sz w:val="24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476190" cy="103809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76190" cy="10380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6.24pt;height:81.74pt;mso-wrap-distance-left:0.00pt;mso-wrap-distance-top:0.00pt;mso-wrap-distance-right:0.00pt;mso-wrap-distance-bottom:0.00pt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49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sz w:val="24"/>
              </w:rPr>
            </w:pPr>
            <w:r>
              <w:rPr>
                <w:sz w:val="24"/>
              </w:rPr>
              <w:t xml:space="preserve">Приложение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61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к решению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Совета депутатов</w:t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  <w:p>
            <w:pPr>
              <w:pStyle w:val="961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Усть-Таркского</w:t>
            </w:r>
            <w:r>
              <w:rPr>
                <w:rFonts w:ascii="Times New Roman" w:hAnsi="Times New Roman" w:cs="Times New Roman"/>
                <w:sz w:val="24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района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Усть-Таркского района Новосибирской области </w:t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  <w:p>
            <w:pPr>
              <w:jc w:val="right"/>
              <w:spacing w:after="0" w:line="240" w:lineRule="auto"/>
              <w:widowControl w:val="off"/>
              <w:rPr>
                <w:sz w:val="24"/>
              </w:rPr>
            </w:pPr>
            <w:r>
              <w:rPr>
                <w:sz w:val="24"/>
              </w:rPr>
              <w:t xml:space="preserve">                от ___.___.23 г.   №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322"/>
        </w:trPr>
        <w:tc>
          <w:tcPr>
            <w:tcW w:w="4955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</w:pPr>
            <w:r/>
            <w:r/>
          </w:p>
        </w:tc>
        <w:tc>
          <w:tcPr>
            <w:tcW w:w="4956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contextualSpacing/>
        <w:jc w:val="center"/>
        <w:spacing w:after="0" w:line="240" w:lineRule="auto"/>
        <w:rPr>
          <w:sz w:val="32"/>
          <w:szCs w:val="36"/>
        </w:rPr>
      </w:pPr>
      <w:r>
        <w:t xml:space="preserve"> </w:t>
      </w:r>
      <w:r>
        <w:rPr>
          <w:b/>
          <w:sz w:val="32"/>
          <w:szCs w:val="36"/>
        </w:rPr>
        <w:t xml:space="preserve">Общество с ограниченной ответственностью</w:t>
      </w:r>
      <w:r>
        <w:rPr>
          <w:sz w:val="32"/>
          <w:szCs w:val="36"/>
        </w:rPr>
      </w:r>
      <w:r>
        <w:rPr>
          <w:sz w:val="32"/>
          <w:szCs w:val="36"/>
        </w:rPr>
      </w:r>
    </w:p>
    <w:p>
      <w:pPr>
        <w:contextualSpacing/>
        <w:jc w:val="center"/>
        <w:spacing w:after="0" w:line="240" w:lineRule="auto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«СибПроектНИИ»</w:t>
      </w:r>
      <w:r>
        <w:rPr>
          <w:b/>
          <w:sz w:val="32"/>
          <w:szCs w:val="36"/>
        </w:rPr>
      </w:r>
      <w:r>
        <w:rPr>
          <w:b/>
          <w:sz w:val="32"/>
          <w:szCs w:val="36"/>
        </w:rPr>
      </w:r>
    </w:p>
    <w:p>
      <w:pPr>
        <w:contextualSpacing/>
        <w:jc w:val="center"/>
        <w:spacing w:after="0" w:line="240" w:lineRule="auto"/>
        <w:rPr>
          <w:b/>
          <w:sz w:val="32"/>
          <w:szCs w:val="36"/>
        </w:rPr>
      </w:pPr>
      <w:r>
        <w:rPr>
          <w:b/>
          <w:sz w:val="32"/>
          <w:szCs w:val="36"/>
        </w:rPr>
      </w:r>
      <w:r>
        <w:rPr>
          <w:b/>
          <w:sz w:val="32"/>
          <w:szCs w:val="36"/>
        </w:rPr>
      </w:r>
      <w:r>
        <w:rPr>
          <w:b/>
          <w:sz w:val="32"/>
          <w:szCs w:val="36"/>
        </w:rPr>
      </w:r>
    </w:p>
    <w:p>
      <w:pPr>
        <w:jc w:val="center"/>
        <w:spacing w:line="240" w:lineRule="auto"/>
        <w:rPr>
          <w:b/>
          <w:sz w:val="36"/>
          <w:szCs w:val="36"/>
        </w:rPr>
      </w:pPr>
      <w:r>
        <w:rPr>
          <w:b/>
          <w:sz w:val="32"/>
          <w:szCs w:val="3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493111" cy="1853153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308394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493110" cy="18531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17.57pt;height:145.92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sz w:val="36"/>
          <w:szCs w:val="36"/>
        </w:rPr>
      </w:r>
      <w:r>
        <w:rPr>
          <w:b/>
          <w:sz w:val="36"/>
          <w:szCs w:val="36"/>
        </w:rPr>
      </w:r>
    </w:p>
    <w:p>
      <w:pPr>
        <w:contextualSpacing/>
        <w:jc w:val="center"/>
        <w:spacing w:after="0" w:line="360" w:lineRule="auto"/>
        <w:rPr>
          <w:b/>
          <w:spacing w:val="24"/>
          <w:sz w:val="32"/>
          <w:szCs w:val="26"/>
        </w:rPr>
      </w:pPr>
      <w:r>
        <w:rPr>
          <w:b/>
          <w:spacing w:val="24"/>
          <w:sz w:val="32"/>
          <w:szCs w:val="26"/>
        </w:rPr>
        <w:t xml:space="preserve">ГЕНЕРАЛЬНЫЙ ПЛАН</w:t>
      </w:r>
      <w:r>
        <w:rPr>
          <w:b/>
          <w:spacing w:val="24"/>
          <w:sz w:val="32"/>
          <w:szCs w:val="26"/>
        </w:rPr>
      </w:r>
      <w:r>
        <w:rPr>
          <w:b/>
          <w:spacing w:val="24"/>
          <w:sz w:val="32"/>
          <w:szCs w:val="26"/>
        </w:rPr>
      </w:r>
    </w:p>
    <w:p>
      <w:pPr>
        <w:contextualSpacing/>
        <w:jc w:val="center"/>
        <w:spacing w:after="0" w:line="360" w:lineRule="auto"/>
        <w:rPr>
          <w:b/>
          <w:szCs w:val="26"/>
        </w:rPr>
      </w:pPr>
      <w:r>
        <w:rPr>
          <w:b/>
          <w:szCs w:val="26"/>
        </w:rPr>
        <w:t xml:space="preserve">Усть-Таркского сельсовета Усть-Таркского района Новосибирской области </w:t>
      </w:r>
      <w:r>
        <w:rPr>
          <w:b/>
          <w:szCs w:val="26"/>
        </w:rPr>
      </w:r>
      <w:r>
        <w:rPr>
          <w:b/>
          <w:szCs w:val="26"/>
        </w:rPr>
      </w:r>
    </w:p>
    <w:p>
      <w:pPr>
        <w:contextualSpacing/>
        <w:jc w:val="center"/>
        <w:spacing w:after="0" w:line="360" w:lineRule="auto"/>
        <w:rPr>
          <w:b/>
          <w:szCs w:val="24"/>
        </w:rPr>
      </w:pPr>
      <w:r>
        <w:rPr>
          <w:b/>
          <w:szCs w:val="24"/>
        </w:rPr>
        <w:t xml:space="preserve">(</w:t>
      </w:r>
      <w:r>
        <w:rPr>
          <w:b/>
          <w:sz w:val="26"/>
          <w:szCs w:val="26"/>
        </w:rPr>
        <w:t xml:space="preserve">с. Усть-Тарка, д.Богословка</w:t>
      </w:r>
      <w:r>
        <w:rPr>
          <w:b/>
          <w:szCs w:val="24"/>
        </w:rPr>
        <w:t xml:space="preserve">)</w:t>
      </w:r>
      <w:r>
        <w:rPr>
          <w:b/>
          <w:szCs w:val="24"/>
        </w:rPr>
      </w:r>
      <w:r>
        <w:rPr>
          <w:b/>
          <w:szCs w:val="24"/>
        </w:rPr>
      </w:r>
    </w:p>
    <w:p>
      <w:pPr>
        <w:contextualSpacing/>
        <w:jc w:val="center"/>
        <w:spacing w:after="0" w:line="240" w:lineRule="auto"/>
        <w:rPr>
          <w:spacing w:val="24"/>
          <w:szCs w:val="24"/>
        </w:rPr>
      </w:pPr>
      <w:r>
        <w:rPr>
          <w:spacing w:val="24"/>
          <w:szCs w:val="24"/>
        </w:rPr>
        <w:t xml:space="preserve">МАТЕРИАЛЫ ПО ОБОСНОВАНИЮ</w:t>
      </w:r>
      <w:r>
        <w:rPr>
          <w:spacing w:val="24"/>
          <w:szCs w:val="24"/>
        </w:rPr>
      </w:r>
      <w:r>
        <w:rPr>
          <w:spacing w:val="24"/>
          <w:szCs w:val="24"/>
        </w:rPr>
      </w:r>
    </w:p>
    <w:p>
      <w:pPr>
        <w:pStyle w:val="1018"/>
        <w:contextualSpacing/>
        <w:ind w:firstLine="0"/>
        <w:jc w:val="center"/>
        <w:rPr>
          <w:lang w:eastAsia="ru-RU"/>
        </w:rPr>
      </w:pPr>
      <w:r>
        <w:rPr>
          <w:lang w:eastAsia="ru-RU"/>
        </w:rPr>
        <w:t xml:space="preserve">(пояснительная записка)</w:t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contextualSpacing/>
        <w:ind w:firstLine="0"/>
        <w:jc w:val="center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contextualSpacing/>
        <w:jc w:val="center"/>
        <w:spacing w:after="0" w:line="360" w:lineRule="auto"/>
        <w:rPr>
          <w:sz w:val="24"/>
          <w:szCs w:val="24"/>
        </w:rPr>
      </w:pPr>
      <w:r>
        <w:rPr>
          <w:spacing w:val="24"/>
          <w:szCs w:val="24"/>
        </w:rPr>
        <w:t xml:space="preserve">Книга 1. Существующее положение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Генеральный 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Пономаренко М.В.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Главный инженер проекта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Афанасьева О.И.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г. Новосибирск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2023г.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 w:line="240" w:lineRule="auto"/>
        <w:rPr>
          <w:sz w:val="24"/>
          <w:szCs w:val="24"/>
        </w:rPr>
      </w:pPr>
      <w:r>
        <w:rPr>
          <w:sz w:val="24"/>
        </w:rPr>
        <w:t xml:space="preserve">Авторский коллектив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spacing w:after="0" w:line="36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contextualSpacing/>
        <w:ind w:firstLine="709"/>
        <w:spacing w:after="0" w:line="360" w:lineRule="auto"/>
        <w:rPr>
          <w:sz w:val="24"/>
        </w:rPr>
      </w:pPr>
      <w:r>
        <w:rPr>
          <w:sz w:val="24"/>
        </w:rPr>
        <w:t xml:space="preserve">Руководитель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Пономаренко М.В.</w:t>
      </w:r>
      <w:r>
        <w:rPr>
          <w:sz w:val="24"/>
        </w:rPr>
      </w:r>
      <w:r>
        <w:rPr>
          <w:sz w:val="24"/>
        </w:rPr>
      </w:r>
    </w:p>
    <w:p>
      <w:pPr>
        <w:contextualSpacing/>
        <w:ind w:firstLine="709"/>
        <w:spacing w:after="0" w:line="360" w:lineRule="auto"/>
        <w:rPr>
          <w:sz w:val="24"/>
        </w:rPr>
      </w:pPr>
      <w:r>
        <w:rPr>
          <w:sz w:val="24"/>
        </w:rPr>
        <w:t xml:space="preserve">Главный инженер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Афанасьева О. И.</w:t>
      </w:r>
      <w:r>
        <w:rPr>
          <w:sz w:val="24"/>
        </w:rPr>
      </w:r>
      <w:r>
        <w:rPr>
          <w:sz w:val="24"/>
        </w:rPr>
      </w:r>
    </w:p>
    <w:p>
      <w:pPr>
        <w:contextualSpacing/>
        <w:ind w:firstLine="709"/>
        <w:spacing w:after="0" w:line="360" w:lineRule="auto"/>
        <w:rPr>
          <w:sz w:val="24"/>
        </w:rPr>
      </w:pPr>
      <w:r>
        <w:rPr>
          <w:sz w:val="24"/>
        </w:rPr>
        <w:t xml:space="preserve">Ведущий инженер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Иксанов Н.А.</w:t>
      </w:r>
      <w:r>
        <w:rPr>
          <w:sz w:val="24"/>
        </w:rPr>
      </w:r>
      <w:r>
        <w:rPr>
          <w:sz w:val="24"/>
        </w:rPr>
      </w:r>
    </w:p>
    <w:p>
      <w:pPr>
        <w:contextualSpacing/>
        <w:ind w:firstLine="709"/>
        <w:spacing w:after="0" w:line="360" w:lineRule="auto"/>
        <w:rPr>
          <w:sz w:val="24"/>
        </w:rPr>
      </w:pPr>
      <w:r>
        <w:rPr>
          <w:sz w:val="24"/>
        </w:rPr>
        <w:t xml:space="preserve">Инженер по архитектурно-планировочным разделам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Соболев Н. В.</w:t>
      </w:r>
      <w:r>
        <w:rPr>
          <w:sz w:val="24"/>
        </w:rPr>
      </w:r>
      <w:r>
        <w:rPr>
          <w:sz w:val="24"/>
        </w:rPr>
      </w:r>
    </w:p>
    <w:p>
      <w:pPr>
        <w:contextualSpacing/>
        <w:ind w:firstLine="709"/>
        <w:spacing w:after="0" w:line="360" w:lineRule="auto"/>
        <w:rPr>
          <w:sz w:val="24"/>
        </w:rPr>
      </w:pPr>
      <w:r>
        <w:rPr>
          <w:sz w:val="24"/>
        </w:rPr>
        <w:t xml:space="preserve">Инженер по компьютерной графике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Заворин Д. С.</w:t>
      </w:r>
      <w:r>
        <w:rPr>
          <w:sz w:val="24"/>
        </w:rPr>
        <w:tab/>
      </w:r>
      <w:r>
        <w:rPr>
          <w:sz w:val="24"/>
        </w:rPr>
      </w:r>
      <w:r>
        <w:rPr>
          <w:sz w:val="24"/>
        </w:rPr>
      </w:r>
    </w:p>
    <w:p>
      <w:pPr>
        <w:contextualSpacing/>
        <w:ind w:firstLine="709"/>
        <w:jc w:val="center"/>
        <w:spacing w:after="0" w:line="360" w:lineRule="auto"/>
        <w:rPr>
          <w:sz w:val="24"/>
          <w:szCs w:val="20"/>
        </w:rPr>
      </w:pPr>
      <w:r>
        <w:rPr>
          <w:sz w:val="24"/>
          <w:szCs w:val="20"/>
        </w:rPr>
        <w:br w:type="column"/>
      </w:r>
      <w:r>
        <w:rPr>
          <w:sz w:val="24"/>
          <w:szCs w:val="20"/>
        </w:rPr>
        <w:t xml:space="preserve">Состав материалов генерального плана, подлежащих утверждению</w:t>
      </w:r>
      <w:r>
        <w:rPr>
          <w:sz w:val="24"/>
          <w:szCs w:val="20"/>
        </w:rPr>
      </w:r>
      <w:r>
        <w:rPr>
          <w:sz w:val="24"/>
          <w:szCs w:val="20"/>
        </w:rPr>
      </w:r>
    </w:p>
    <w:p>
      <w:pPr>
        <w:contextualSpacing/>
        <w:ind w:firstLine="709"/>
        <w:jc w:val="center"/>
        <w:spacing w:after="0" w:line="360" w:lineRule="auto"/>
        <w:rPr>
          <w:sz w:val="24"/>
          <w:szCs w:val="20"/>
        </w:rPr>
      </w:pPr>
      <w:r>
        <w:rPr>
          <w:sz w:val="24"/>
          <w:szCs w:val="20"/>
        </w:rPr>
      </w:r>
      <w:r>
        <w:rPr>
          <w:sz w:val="24"/>
          <w:szCs w:val="20"/>
        </w:rPr>
      </w:r>
      <w:r>
        <w:rPr>
          <w:sz w:val="24"/>
          <w:szCs w:val="20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28" w:type="dxa"/>
          <w:right w:w="57" w:type="dxa"/>
          <w:bottom w:w="28" w:type="dxa"/>
        </w:tblCellMar>
        <w:tblLook w:val="0000" w:firstRow="0" w:lastRow="0" w:firstColumn="0" w:lastColumn="0" w:noHBand="0" w:noVBand="0"/>
      </w:tblPr>
      <w:tblGrid>
        <w:gridCol w:w="759"/>
        <w:gridCol w:w="9017"/>
      </w:tblGrid>
      <w:tr>
        <w:trPr>
          <w:jc w:val="center"/>
          <w:tblHeader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№ п/п</w:t>
            </w:r>
            <w:r>
              <w:rPr>
                <w:b/>
                <w:sz w:val="24"/>
                <w:szCs w:val="20"/>
              </w:rPr>
            </w:r>
            <w:r>
              <w:rPr>
                <w:b/>
                <w:sz w:val="24"/>
                <w:szCs w:val="20"/>
              </w:rPr>
            </w:r>
          </w:p>
        </w:tc>
        <w:tc>
          <w:tcPr>
            <w:tcW w:w="90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Содержание</w:t>
            </w:r>
            <w:r>
              <w:rPr>
                <w:b/>
                <w:sz w:val="24"/>
                <w:szCs w:val="20"/>
              </w:rPr>
            </w:r>
            <w:r>
              <w:rPr>
                <w:b/>
                <w:sz w:val="24"/>
                <w:szCs w:val="20"/>
              </w:rPr>
            </w:r>
          </w:p>
        </w:tc>
      </w:tr>
      <w:tr>
        <w:trPr>
          <w:jc w:val="center"/>
          <w:tblHeader/>
        </w:trPr>
        <w:tc>
          <w:tcPr>
            <w:gridSpan w:val="2"/>
            <w:tcW w:w="97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b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 xml:space="preserve">Материалы по обоснованию генерального плана в текстовой форме</w:t>
            </w:r>
            <w:r>
              <w:rPr>
                <w:b/>
                <w:sz w:val="24"/>
                <w:szCs w:val="20"/>
              </w:rPr>
            </w:r>
            <w:r>
              <w:rPr>
                <w:b/>
                <w:sz w:val="24"/>
                <w:szCs w:val="20"/>
              </w:rPr>
            </w:r>
          </w:p>
        </w:tc>
      </w:tr>
      <w:tr>
        <w:trPr>
          <w:jc w:val="center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1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  <w:tc>
          <w:tcPr>
            <w:tcW w:w="901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Материалы по обоснованию (пояснительная записка). Книга 1. Существующее положение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</w:tr>
      <w:tr>
        <w:trPr>
          <w:jc w:val="center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2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  <w:tc>
          <w:tcPr>
            <w:tcW w:w="9017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Материалы по обоснованию (пояснительная записка). Книга 2. Проектные решения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</w:tr>
      <w:tr>
        <w:trPr>
          <w:jc w:val="center"/>
        </w:trPr>
        <w:tc>
          <w:tcPr>
            <w:gridSpan w:val="2"/>
            <w:tcW w:w="97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 xml:space="preserve">Материалы по обоснованию генерального плана в графической форме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</w:tr>
      <w:tr>
        <w:trPr>
          <w:jc w:val="center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3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  <w:tc>
          <w:tcPr>
            <w:tcW w:w="9017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Карта существующих планируемых объектов местного значения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</w:tr>
      <w:tr>
        <w:trPr>
          <w:jc w:val="center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4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  <w:tc>
          <w:tcPr>
            <w:tcW w:w="9017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Карта границ населенных пунктов, входящих в состав муниципального образования 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</w:tr>
      <w:tr>
        <w:trPr>
          <w:jc w:val="center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67" w:leader="none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5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  <w:tc>
          <w:tcPr>
            <w:tcW w:w="9017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Карта функциональных зон, совмещенная с картой зон с особыми условиями использования территории</w:t>
            </w: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</w:r>
          </w:p>
        </w:tc>
      </w:tr>
    </w:tbl>
    <w:p>
      <w:pPr>
        <w:contextualSpacing/>
        <w:ind w:firstLine="709"/>
        <w:spacing w:after="0" w:line="360" w:lineRule="auto"/>
        <w:rPr>
          <w:sz w:val="24"/>
          <w:szCs w:val="20"/>
        </w:rPr>
      </w:pPr>
      <w:r>
        <w:rPr>
          <w:sz w:val="24"/>
          <w:szCs w:val="20"/>
        </w:rPr>
      </w:r>
      <w:r>
        <w:rPr>
          <w:sz w:val="24"/>
          <w:szCs w:val="20"/>
        </w:rPr>
      </w:r>
      <w:r>
        <w:rPr>
          <w:sz w:val="24"/>
          <w:szCs w:val="20"/>
        </w:rPr>
      </w:r>
    </w:p>
    <w:p>
      <w:pPr>
        <w:contextualSpacing/>
        <w:ind w:firstLine="709"/>
        <w:spacing w:after="0"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</w:r>
      <w:r>
        <w:rPr>
          <w:sz w:val="24"/>
        </w:rPr>
      </w:r>
    </w:p>
    <w:p>
      <w:pPr>
        <w:contextualSpacing/>
        <w:jc w:val="center"/>
        <w:spacing w:after="0" w:line="360" w:lineRule="auto"/>
      </w:pPr>
      <w:r/>
      <w:r/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sdt>
      <w:sdtPr>
        <w15:appearance w15:val="boundingBox"/>
        <w:id w:val="-1143505393"/>
        <w:docPartObj>
          <w:docPartGallery w:val="Table of Contents"/>
          <w:docPartUnique w:val="true"/>
        </w:docPartObj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</w:sdtPr>
      <w:sdtContent>
        <w:p>
          <w:pPr>
            <w:pStyle w:val="1003"/>
            <w:contextualSpacing/>
            <w:ind w:firstLine="709"/>
            <w:jc w:val="center"/>
            <w:spacing w:before="0" w:line="240" w:lineRule="auto"/>
            <w:rPr>
              <w:caps/>
              <w:color w:val="000000" w:themeColor="text1"/>
              <w:sz w:val="24"/>
              <w:szCs w:val="24"/>
            </w:rPr>
          </w:pPr>
          <w:r>
            <w:rPr>
              <w:caps/>
              <w:color w:val="000000" w:themeColor="text1"/>
              <w:sz w:val="24"/>
              <w:szCs w:val="24"/>
            </w:rPr>
            <w:t xml:space="preserve">Оглавление</w:t>
          </w:r>
          <w:r>
            <w:rPr>
              <w:caps/>
              <w:color w:val="000000" w:themeColor="text1"/>
              <w:sz w:val="24"/>
              <w:szCs w:val="24"/>
            </w:rPr>
          </w:r>
          <w:r>
            <w:rPr>
              <w:caps/>
              <w:color w:val="000000" w:themeColor="text1"/>
              <w:sz w:val="24"/>
              <w:szCs w:val="24"/>
            </w:rPr>
          </w:r>
        </w:p>
        <w:p>
          <w:pPr>
            <w:contextualSpacing/>
            <w:spacing w:after="0" w:line="360" w:lineRule="auto"/>
            <w:rPr>
              <w:lang w:eastAsia="en-US"/>
            </w:rPr>
          </w:pPr>
          <w:r>
            <w:rPr>
              <w:lang w:eastAsia="en-US"/>
            </w:rPr>
          </w:r>
          <w:r>
            <w:rPr>
              <w:lang w:eastAsia="en-US"/>
            </w:rPr>
          </w:r>
          <w:r>
            <w:rPr>
              <w:lang w:eastAsia="en-US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tooltip="#_Toc118276392" w:anchor="_Toc118276392" w:history="1">
            <w:r>
              <w:rPr>
                <w:rStyle w:val="972"/>
              </w:rPr>
              <w:t xml:space="preserve">Введение</w:t>
            </w:r>
            <w:r>
              <w:tab/>
            </w:r>
            <w:r>
              <w:fldChar w:fldCharType="begin"/>
            </w:r>
            <w:r>
              <w:instrText xml:space="preserve"> PAGEREF _Toc118276392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393" w:anchor="_Toc118276393" w:history="1">
            <w:r>
              <w:rPr>
                <w:rStyle w:val="972"/>
                <w:caps/>
              </w:rPr>
              <w:t xml:space="preserve">Усть-таркский сельсовет.  </w:t>
            </w:r>
            <w:r>
              <w:tab/>
            </w:r>
            <w:r>
              <w:fldChar w:fldCharType="begin"/>
            </w:r>
            <w:r>
              <w:instrText xml:space="preserve"> PAGEREF _Toc118276393 \h </w:instrText>
            </w:r>
            <w:r>
              <w:fldChar w:fldCharType="separate"/>
            </w:r>
            <w:r>
              <w:t xml:space="preserve">11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394" w:anchor="_Toc118276394" w:history="1">
            <w:r>
              <w:rPr>
                <w:rStyle w:val="972"/>
              </w:rPr>
              <w:t xml:space="preserve">1.1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972"/>
              </w:rPr>
              <w:t xml:space="preserve">Основные сведения</w:t>
            </w:r>
            <w:r>
              <w:tab/>
            </w:r>
            <w:r>
              <w:fldChar w:fldCharType="begin"/>
            </w:r>
            <w:r>
              <w:instrText xml:space="preserve"> PAGEREF _Toc118276394 \h </w:instrText>
            </w:r>
            <w:r>
              <w:fldChar w:fldCharType="separate"/>
            </w:r>
            <w:r>
              <w:t xml:space="preserve">11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395" w:anchor="_Toc118276395" w:history="1">
            <w:r>
              <w:rPr>
                <w:rStyle w:val="972"/>
              </w:rPr>
              <w:t xml:space="preserve">1.2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972"/>
              </w:rPr>
              <w:t xml:space="preserve">Краткая историческая справка</w:t>
            </w:r>
            <w:r>
              <w:tab/>
            </w:r>
            <w:r>
              <w:fldChar w:fldCharType="begin"/>
            </w:r>
            <w:r>
              <w:instrText xml:space="preserve"> PAGEREF _Toc118276395 \h </w:instrText>
            </w:r>
            <w:r>
              <w:fldChar w:fldCharType="separate"/>
            </w:r>
            <w:r>
              <w:t xml:space="preserve">12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396" w:anchor="_Toc118276396" w:history="1">
            <w:r>
              <w:rPr>
                <w:rStyle w:val="972"/>
                <w:caps/>
              </w:rPr>
              <w:t xml:space="preserve">2 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972"/>
                <w:caps/>
              </w:rPr>
              <w:t xml:space="preserve">Анализ реализации положений действующего генерального плана</w:t>
            </w:r>
            <w:r>
              <w:tab/>
            </w:r>
            <w:r>
              <w:fldChar w:fldCharType="begin"/>
            </w:r>
            <w:r>
              <w:instrText xml:space="preserve"> PAGEREF _Toc118276396 \h </w:instrText>
            </w:r>
            <w:r>
              <w:fldChar w:fldCharType="separate"/>
            </w:r>
            <w:r>
              <w:t xml:space="preserve">15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397" w:anchor="_Toc118276397" w:history="1">
            <w:r>
              <w:rPr>
                <w:rStyle w:val="972"/>
                <w:caps/>
              </w:rPr>
              <w:t xml:space="preserve">3 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972"/>
                <w:caps/>
              </w:rPr>
              <w:t xml:space="preserve">Анализ использования территории усть-таркского сельсовета усть-таркского района новосибирской области ..................................</w:t>
            </w:r>
            <w:r>
              <w:tab/>
            </w:r>
            <w:r>
              <w:fldChar w:fldCharType="begin"/>
            </w:r>
            <w:r>
              <w:instrText xml:space="preserve"> PAGEREF _Toc118276397 \h </w:instrText>
            </w:r>
            <w:r>
              <w:fldChar w:fldCharType="separate"/>
            </w:r>
            <w:r>
              <w:t xml:space="preserve">16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398" w:anchor="_Toc118276398" w:history="1">
            <w:r>
              <w:rPr>
                <w:rStyle w:val="972"/>
              </w:rPr>
              <w:t xml:space="preserve">3.1 Природные условия и ресурсы</w:t>
            </w:r>
            <w:r>
              <w:tab/>
            </w:r>
            <w:r>
              <w:fldChar w:fldCharType="begin"/>
            </w:r>
            <w:r>
              <w:instrText xml:space="preserve"> PAGEREF _Toc118276398 \h </w:instrText>
            </w:r>
            <w:r>
              <w:fldChar w:fldCharType="separate"/>
            </w:r>
            <w:r>
              <w:t xml:space="preserve">16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399" w:anchor="_Toc118276399" w:history="1">
            <w:r>
              <w:rPr>
                <w:rStyle w:val="972"/>
              </w:rPr>
              <w:t xml:space="preserve">3.2 Анализ землепользования</w:t>
            </w:r>
            <w:r>
              <w:tab/>
            </w:r>
            <w:r>
              <w:fldChar w:fldCharType="begin"/>
            </w:r>
            <w:r>
              <w:instrText xml:space="preserve"> PAGEREF _Toc118276399 \h </w:instrText>
            </w:r>
            <w:r>
              <w:fldChar w:fldCharType="separate"/>
            </w:r>
            <w:r>
              <w:t xml:space="preserve">19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400" w:anchor="_Toc118276400" w:history="1">
            <w:r>
              <w:rPr>
                <w:rStyle w:val="972"/>
              </w:rPr>
              <w:t xml:space="preserve">3.3 Современное состояние и планировочная структура населенных пунктов</w:t>
            </w:r>
            <w:r>
              <w:tab/>
            </w:r>
            <w:r>
              <w:fldChar w:fldCharType="begin"/>
            </w:r>
            <w:r>
              <w:instrText xml:space="preserve"> PAGEREF _Toc118276400 \h </w:instrText>
            </w:r>
            <w:r>
              <w:fldChar w:fldCharType="separate"/>
            </w:r>
            <w:r>
              <w:t xml:space="preserve">19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401" w:anchor="_Toc118276401" w:history="1">
            <w:r>
              <w:rPr>
                <w:rStyle w:val="972"/>
              </w:rPr>
              <w:t xml:space="preserve">3.4 Формирование комфортной городской среды</w:t>
            </w:r>
            <w:r>
              <w:tab/>
            </w:r>
            <w:r>
              <w:fldChar w:fldCharType="begin"/>
            </w:r>
            <w:r>
              <w:instrText xml:space="preserve"> PAGEREF _Toc118276401 \h </w:instrText>
            </w:r>
            <w:r>
              <w:fldChar w:fldCharType="separate"/>
            </w:r>
            <w:r>
              <w:t xml:space="preserve">21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402" w:anchor="_Toc118276402" w:history="1">
            <w:r>
              <w:rPr>
                <w:rStyle w:val="972"/>
              </w:rPr>
              <w:t xml:space="preserve">3.5 Экономическая база</w:t>
            </w:r>
            <w:r>
              <w:tab/>
            </w:r>
            <w:r>
              <w:fldChar w:fldCharType="begin"/>
            </w:r>
            <w:r>
              <w:instrText xml:space="preserve"> PAGEREF _Toc118276402 \h </w:instrText>
            </w:r>
            <w:r>
              <w:fldChar w:fldCharType="separate"/>
            </w:r>
            <w:r>
              <w:t xml:space="preserve">22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403" w:anchor="_Toc118276403" w:history="1">
            <w:r>
              <w:rPr>
                <w:rStyle w:val="972"/>
              </w:rPr>
              <w:t xml:space="preserve">3.7 Жилищный фонд</w:t>
            </w:r>
            <w:r>
              <w:tab/>
            </w:r>
            <w:r>
              <w:fldChar w:fldCharType="begin"/>
            </w:r>
            <w:r>
              <w:instrText xml:space="preserve"> PAGEREF _Toc118276403 \h </w:instrText>
            </w:r>
            <w:r>
              <w:fldChar w:fldCharType="separate"/>
            </w:r>
            <w:r>
              <w:t xml:space="preserve">26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404" w:anchor="_Toc118276404" w:history="1">
            <w:r>
              <w:rPr>
                <w:rStyle w:val="972"/>
              </w:rPr>
              <w:t xml:space="preserve">3.9 Транспортная инфраструктура</w:t>
            </w:r>
            <w:r>
              <w:tab/>
            </w:r>
            <w:r>
              <w:fldChar w:fldCharType="begin"/>
            </w:r>
            <w:r>
              <w:instrText xml:space="preserve"> PAGEREF _Toc118276404 \h </w:instrText>
            </w:r>
            <w:r>
              <w:fldChar w:fldCharType="separate"/>
            </w:r>
            <w:r>
              <w:t xml:space="preserve">29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405" w:anchor="_Toc118276405" w:history="1">
            <w:r>
              <w:rPr>
                <w:rStyle w:val="972"/>
              </w:rPr>
              <w:t xml:space="preserve">3.10 Коммунальная инфраструктура</w:t>
            </w:r>
            <w:r>
              <w:tab/>
            </w:r>
            <w:r>
              <w:fldChar w:fldCharType="begin"/>
            </w:r>
            <w:r>
              <w:instrText xml:space="preserve"> PAGEREF _Toc118276405 \h </w:instrText>
            </w:r>
            <w:r>
              <w:fldChar w:fldCharType="separate"/>
            </w:r>
            <w:r>
              <w:t xml:space="preserve">32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406" w:anchor="_Toc118276406" w:history="1">
            <w:r>
              <w:rPr>
                <w:rStyle w:val="972"/>
              </w:rPr>
              <w:t xml:space="preserve">3.12 Зоны с особыми условиями использования</w:t>
            </w:r>
            <w:r>
              <w:tab/>
            </w:r>
            <w:r>
              <w:fldChar w:fldCharType="begin"/>
            </w:r>
            <w:r>
              <w:instrText xml:space="preserve"> PAGEREF _Toc118276406 \h </w:instrText>
            </w:r>
            <w:r>
              <w:fldChar w:fldCharType="separate"/>
            </w:r>
            <w:r>
              <w:t xml:space="preserve">37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407" w:anchor="_Toc118276407" w:history="1">
            <w:r>
              <w:rPr>
                <w:rStyle w:val="972"/>
              </w:rPr>
              <w:t xml:space="preserve">3.13 Состояние окружающей среды</w:t>
            </w:r>
            <w:r>
              <w:tab/>
            </w:r>
            <w:r>
              <w:fldChar w:fldCharType="begin"/>
            </w:r>
            <w:r>
              <w:instrText xml:space="preserve"> PAGEREF _Toc118276407 \h </w:instrText>
            </w:r>
            <w:r>
              <w:fldChar w:fldCharType="separate"/>
            </w:r>
            <w:r>
              <w:t xml:space="preserve">49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18276408" w:anchor="_Toc118276408" w:history="1">
            <w:r>
              <w:rPr>
                <w:rStyle w:val="972"/>
              </w:rPr>
              <w:t xml:space="preserve">3.14 Результаты градостроительного анализа</w:t>
            </w:r>
            <w:r>
              <w:tab/>
            </w:r>
            <w:r>
              <w:fldChar w:fldCharType="begin"/>
            </w:r>
            <w:r>
              <w:instrText xml:space="preserve"> PAGEREF _Toc118276408 \h </w:instrText>
            </w:r>
            <w:r>
              <w:fldChar w:fldCharType="separate"/>
            </w:r>
            <w:r>
              <w:t xml:space="preserve">50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71"/>
            <w:rPr>
              <w:rFonts w:asciiTheme="minorHAnsi" w:hAnsiTheme="minorHAnsi" w:eastAsiaTheme="minorEastAsia" w:cstheme="minorBidi"/>
              <w:sz w:val="22"/>
              <w:szCs w:val="22"/>
            </w:rPr>
          </w:pPr>
          <w:r>
            <w:fldChar w:fldCharType="end"/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contextualSpacing/>
            <w:ind w:firstLine="709"/>
            <w:spacing w:after="0" w:line="360" w:lineRule="auto"/>
            <w:tabs>
              <w:tab w:val="right" w:pos="992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</w:sdtContent>
    </w:sdt>
    <w:p>
      <w:pPr>
        <w:contextualSpacing/>
        <w:ind w:firstLine="709"/>
        <w:jc w:val="center"/>
        <w:spacing w:after="0" w:line="36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contextualSpacing/>
        <w:ind w:firstLine="709"/>
        <w:spacing w:after="0" w:line="36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>
        <w:br w:type="column"/>
      </w:r>
      <w:bookmarkStart w:id="0" w:name="_Toc118276392"/>
      <w:r>
        <w:rPr>
          <w:b/>
          <w:sz w:val="26"/>
          <w:szCs w:val="26"/>
        </w:rPr>
        <w:t xml:space="preserve">Введение</w:t>
      </w:r>
      <w:bookmarkEnd w:id="0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rPr>
          <w:sz w:val="26"/>
          <w:szCs w:val="26"/>
        </w:rPr>
      </w:pPr>
      <w:r>
        <w:rPr>
          <w:sz w:val="26"/>
          <w:szCs w:val="26"/>
        </w:rPr>
        <w:t xml:space="preserve">Генеральный план (ГП) является гра</w:t>
      </w:r>
      <w:r>
        <w:rPr>
          <w:sz w:val="26"/>
          <w:szCs w:val="26"/>
        </w:rPr>
        <w:t xml:space="preserve">достроительным документом, определяющим в интересах населения и государства условия формирования среды жизнедеятельности, направления и границы развития территории поселения, установление и изменение границ населенных пунктов в составе поселения, функциона</w:t>
      </w:r>
      <w:r>
        <w:rPr>
          <w:sz w:val="26"/>
          <w:szCs w:val="26"/>
        </w:rPr>
        <w:t xml:space="preserve">льное зонирование территорий,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rPr>
          <w:sz w:val="26"/>
          <w:szCs w:val="26"/>
        </w:rPr>
      </w:pPr>
      <w:r>
        <w:rPr>
          <w:sz w:val="26"/>
          <w:szCs w:val="26"/>
        </w:rPr>
        <w:t xml:space="preserve">Цель разработки генерального плана: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обеспечение устойчивого развития территории поселения на основе территориального планирования;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определение назначения территории поселения исходя из совокупности социальных, экономических, экологических и иных факторов в целях развития инженерной, транспортной и социальной инфраструктур для создания благоприятных условий жизнедеятельности.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Задачи разработки генерального плана: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определение и оценка основных пер</w:t>
      </w:r>
      <w:r>
        <w:rPr>
          <w:sz w:val="26"/>
          <w:szCs w:val="26"/>
        </w:rPr>
        <w:t xml:space="preserve">спективных направлений развития поселения с учетом социально-экономического развития, природно-климатических условий, прогнозируемой численности населения и сложившейся инженерно-транспортной инфраструктуры и параметров пространственного развития сельского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поселения (ГП), обеспечивающих его устойчивое развитие не менее, чем на 20 лет вперед;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установление функциональных зон и ограничений на использование территорий в этих зонах;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определение местоположени</w:t>
      </w:r>
      <w:r>
        <w:rPr>
          <w:sz w:val="26"/>
          <w:szCs w:val="26"/>
        </w:rPr>
        <w:t xml:space="preserve">я планируемых к размещению объектов местного значения поселения, определение их основных характеристик и характеристик зон с особыми условиями использования территорий (в случае, если установление таких зон требуется в связи с размещением данных объектов);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определение направлений и параметров развития инженерной, транспортной и социальной инфраструктур;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обеспечение прав и законных интересов физических и юридических лиц, в том числе правообладателей земельных участков (ЗУ) и объектов капитального строительства (ОКС);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rPr>
          <w:sz w:val="26"/>
          <w:szCs w:val="26"/>
        </w:rPr>
      </w:pPr>
      <w:r>
        <w:rPr>
          <w:sz w:val="26"/>
          <w:szCs w:val="26"/>
        </w:rPr>
        <w:t xml:space="preserve">Разработка генерального плана Усть-Таркского сельсовета Усть-Таркского района Новосибирской области </w:t>
      </w:r>
      <w:r>
        <w:rPr>
          <w:color w:val="000000" w:themeColor="text1"/>
          <w:sz w:val="26"/>
          <w:szCs w:val="26"/>
          <w:highlight w:val="white"/>
        </w:rPr>
        <w:t xml:space="preserve">выполнена</w:t>
      </w:r>
      <w:r>
        <w:rPr>
          <w:sz w:val="26"/>
          <w:szCs w:val="26"/>
        </w:rPr>
        <w:t xml:space="preserve"> в со</w:t>
      </w:r>
      <w:r>
        <w:rPr>
          <w:sz w:val="26"/>
          <w:szCs w:val="26"/>
        </w:rPr>
        <w:t xml:space="preserve">ответствии с муниципальным контрактом         №4914758 от 07 сентября 2022 г., заключенным администрацией Усть-Таркского сельсовета Усть-Таркского района Новосибирской области с обществом с ограниченной ответственностью «СибПроектНИИ» (ООО «СибпроектНИИ»).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Генеральный план Усть-Таркского сельсовета Усть-Таркского района Новосибирской области подготовлен в соответствии с требованиями статей 9, 10, 23 и 24 ГрК РФ.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Генеральный план Усть-Таркского сельсовета Усть-Таркского района Новосибирской области соответствуют требованиям действующего законодательства в </w:t>
      </w:r>
      <w:r>
        <w:rPr>
          <w:sz w:val="26"/>
          <w:szCs w:val="26"/>
        </w:rPr>
        <w:t xml:space="preserve">области регулирования градостроительной деятельности, земельному, водному, лесному,</w:t>
      </w:r>
      <w:r>
        <w:rPr>
          <w:sz w:val="26"/>
          <w:szCs w:val="26"/>
        </w:rPr>
        <w:t xml:space="preserve"> природоохранному и иному законодательству Российской Федерации и Новосибирской области, нормативно-технических документов в области градостроительства федерального и регионального уровней, нормативных правовых актов (НПА) органов местного самоуправления.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Генеральный план подготовлен на территорию в границах Усть-Таркского сельсовета Усть-Таркского района Новосибирской области установленных </w:t>
      </w:r>
      <w:r>
        <w:rPr>
          <w:rFonts w:eastAsia="Arial"/>
          <w:sz w:val="26"/>
          <w:szCs w:val="26"/>
          <w:highlight w:val="white"/>
        </w:rPr>
        <w:t xml:space="preserve">Законом Новосибирской области от 2 июня 2004 года № 200-ОЗ «О статусе и границах муниципальных образований Новосибирской области»</w:t>
      </w:r>
      <w:r>
        <w:rPr>
          <w:sz w:val="26"/>
          <w:szCs w:val="26"/>
        </w:rPr>
        <w:t xml:space="preserve">. В состав сельсовета входят 2 населенных пункта: село Усть-Тарка, деревня Богословка.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Разработка генерального плана Усть-Таркского сельсовета Усть-Таркского района Новосибирской области выполнена с применением компьютерных геоинформационных технологий в программе </w:t>
      </w:r>
      <w:bookmarkStart w:id="1" w:name="_Hlk498335884"/>
      <w:r>
        <w:rPr>
          <w:sz w:val="26"/>
          <w:szCs w:val="26"/>
          <w:lang w:val="en-US"/>
        </w:rPr>
        <w:t xml:space="preserve">MapInfo</w:t>
      </w:r>
      <w:r>
        <w:rPr>
          <w:sz w:val="26"/>
          <w:szCs w:val="26"/>
        </w:rPr>
        <w:t xml:space="preserve">, в системе координат, используемой для ведения Единого государственного реестра недвижимости («МСК-54»).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Исходный год проектирования – 2023 год, расчетный срок – 2043 год</w:t>
      </w:r>
      <w:bookmarkEnd w:id="1"/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after="0" w:line="240" w:lineRule="auto"/>
        <w:rPr>
          <w:rFonts w:eastAsia="SimSun"/>
          <w:sz w:val="26"/>
          <w:szCs w:val="26"/>
        </w:rPr>
      </w:pPr>
      <w:r>
        <w:rPr>
          <w:sz w:val="26"/>
          <w:szCs w:val="26"/>
        </w:rPr>
        <w:t xml:space="preserve">Разработка генерального плана выполнялась с учетом сведений, содержащиеся в федеральной государственной информационной системе территориального планирования (ФГИС ТП), а также законами и нормативными правовыми</w:t>
      </w:r>
      <w:r>
        <w:rPr>
          <w:rFonts w:eastAsia="SimSun"/>
          <w:sz w:val="26"/>
          <w:szCs w:val="26"/>
        </w:rPr>
        <w:t xml:space="preserve"> актами Российской Федерации, законами и нормативными правовыми актами Новосибирской области, нормативными правовыми актами </w:t>
      </w:r>
      <w:r>
        <w:rPr>
          <w:sz w:val="26"/>
          <w:szCs w:val="26"/>
        </w:rPr>
        <w:t xml:space="preserve">Усть-Таркского сельсовета Усть-Таркского района Новосибирской области, </w:t>
      </w:r>
      <w:r>
        <w:rPr>
          <w:rFonts w:eastAsia="SimSun"/>
          <w:sz w:val="26"/>
          <w:szCs w:val="26"/>
        </w:rPr>
        <w:t xml:space="preserve">техническими регламентами:</w:t>
      </w:r>
      <w:r>
        <w:rPr>
          <w:rFonts w:eastAsia="SimSun"/>
          <w:sz w:val="26"/>
          <w:szCs w:val="26"/>
        </w:rPr>
      </w:r>
      <w:r>
        <w:rPr>
          <w:rFonts w:eastAsia="SimSun"/>
          <w:sz w:val="26"/>
          <w:szCs w:val="26"/>
        </w:rPr>
      </w:r>
    </w:p>
    <w:p>
      <w:pPr>
        <w:pStyle w:val="1018"/>
        <w:contextualSpacing/>
        <w:ind w:right="0"/>
        <w:tabs>
          <w:tab w:val="left" w:pos="993" w:leader="none"/>
        </w:tabs>
        <w:rPr>
          <w:rFonts w:eastAsiaTheme="minorHAnsi"/>
          <w:sz w:val="26"/>
          <w:szCs w:val="26"/>
        </w:rPr>
      </w:pPr>
      <w:r>
        <w:rPr>
          <w:rFonts w:eastAsia="SimSun"/>
          <w:sz w:val="26"/>
          <w:szCs w:val="26"/>
          <w:lang w:eastAsia="ru-RU"/>
        </w:rPr>
        <w:t xml:space="preserve">– </w:t>
      </w:r>
      <w:r>
        <w:rPr>
          <w:rFonts w:eastAsia="SimSun"/>
          <w:sz w:val="26"/>
          <w:szCs w:val="26"/>
          <w:lang w:eastAsia="ru-RU"/>
        </w:rPr>
        <w:tab/>
      </w:r>
      <w:r>
        <w:rPr>
          <w:sz w:val="26"/>
          <w:szCs w:val="26"/>
        </w:rPr>
        <w:t xml:space="preserve">Градостроительный кодекс Российской Федерации от 29.12.2004 № 190-ФЗ;</w:t>
      </w:r>
      <w:r>
        <w:rPr>
          <w:rFonts w:eastAsiaTheme="minorHAnsi"/>
          <w:sz w:val="26"/>
          <w:szCs w:val="26"/>
        </w:rPr>
      </w:r>
      <w:r>
        <w:rPr>
          <w:rFonts w:eastAsiaTheme="minorHAnsi"/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Земельный кодекс Российской Федерации от 25.10.2001 № 136-ФЗ;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Лесной кодекс Российской Федерации от 04.12.2006 № 200-ФЗ;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Водный кодекс Российской Федерации от 03.06.2006 № 74-ФЗ;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Воздушный кодекс Российской Федерации от 19.03.1997 № 60-ФЗ;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25.06.2002 № 73-ФЗ «Об объектах культурного наследия (памятниках истории и культуры) народов Российской Федерации»;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06.10.2003 № 131-ФЗ «Об общих принципах организации местного самоуправления в Российской Федерации»;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10.01.2002 № 7-ФЗ «Об охране окружающей среды»;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21.12.1994 № 68-ФЗ «О защите населения и территорий от чрезвычайных ситуаций природного и техногенного характера»;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30.03.1999 № 52-ФЗ «О санитарно-эпидемиологическом благополучии населения»;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22.07.2008 № 123-ФЗ «Технический регламент о требованиях к пожарной безопасности»;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27.12.2002 № 184-ФЗ «О техническом регулировании»;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28.06.2014 № 172-ФЗ "О стратегическом планировании в Российской Федерации";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14.03.1995 № 33-ФЗ «Об особо охраняемых природных территориях»;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13.07.2015 № 218-ФЗ «О государственной регистрации недвижимости»;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21.12.2004 № 172-ФЗ «О переводе земель или земельных участков из одной категории в другую»;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07.07.2003 № 112-ФЗ «О личном подсобном хозяйстве»;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12.01.1996 № 8-ФЗ «О погребении и похоронном деле»;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19.07.1998 № 113-ФЗ «О гидрометеорологической службе»;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30.12.2009 № 384-ФЗ «Технический регламент о безопасности зданий и сооружений»;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07.07.2003 № 126-ФЗ «О связи»;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993" w:hanging="284"/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19.07.1998 № 113-ФЗ «О гидрометеорологической службе»;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Приказ Министерства экономического развития Российской Федерации от 09.01.2018 № 10 «Об утверждени</w:t>
      </w:r>
      <w:r>
        <w:rPr>
          <w:sz w:val="26"/>
          <w:szCs w:val="26"/>
        </w:rPr>
        <w:t xml:space="preserve">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7.12.2016 № 793»;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Приказ Федеральной службы государственной регистрации, кадастра и картографии от 10.11.2020 № П/0412 «Об утверждении классификатора видов разрешенного использования земельных участков»;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Приказ Минрегиона России от 26.05.2011 № 244 «Об утверждении Методических рекомендаций по разработке проектов генеральных планов поселений и городских округов»;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Приказ Министерства экономического развития РФ от 23 ноября 2018 г. № 650 «Об установлении ф</w:t>
      </w:r>
      <w:r>
        <w:rPr>
          <w:sz w:val="26"/>
          <w:szCs w:val="26"/>
        </w:rPr>
        <w:t xml:space="preserve">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</w:t>
      </w:r>
      <w:r>
        <w:rPr>
          <w:sz w:val="26"/>
          <w:szCs w:val="26"/>
        </w:rPr>
        <w:t xml:space="preserve">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</w:t>
      </w:r>
      <w:r>
        <w:rPr>
          <w:sz w:val="26"/>
          <w:szCs w:val="26"/>
        </w:rPr>
        <w:t xml:space="preserve">ведения о границах населенных пунктов, территориальных зон, особо охраняемых природных территорий, зон с особыми условиями использования территории, и о признании утратившими силу приказов Минэкономразвития России от 23.03.2016 № 163 и от 04.05.2018 №236»;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Приказ Минэкономразвития Ро</w:t>
      </w:r>
      <w:r>
        <w:rPr>
          <w:sz w:val="26"/>
          <w:szCs w:val="26"/>
        </w:rPr>
        <w:t xml:space="preserve">ссии от 21.07.2016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Приказ Минстроя РФ от 17.08.1992 № 197 «О типовых правилах охраны коммунальных тепловых сетей»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bCs/>
          <w:sz w:val="26"/>
          <w:szCs w:val="26"/>
        </w:rPr>
        <w:t xml:space="preserve">Распоряжение Правительства РФ от 19.03.2013 № 384-р «Об утверждении схемы территориального планирования Российской Федерации в области федерального </w:t>
      </w:r>
      <w:r>
        <w:rPr>
          <w:bCs/>
          <w:sz w:val="26"/>
          <w:szCs w:val="26"/>
        </w:rPr>
        <w:t xml:space="preserve">транспорта (железнодорожного, воздушного, морского, внутреннего водного транспорта) и автомобильных дорог федерального значения»;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bCs/>
          <w:sz w:val="26"/>
          <w:szCs w:val="26"/>
        </w:rPr>
        <w:t xml:space="preserve">Распоряжение Правительства РФ от 28.12.2012 № 2607-р «Об утверждении схемы территориального планирования Российской Федерации в области здравоохранения»;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bCs/>
          <w:sz w:val="26"/>
          <w:szCs w:val="26"/>
        </w:rPr>
        <w:t xml:space="preserve">Распоряжение Правительства РФ от 01.08.2016 № 1634-р «Об утверждении схемы территориального планирования Российской Федерации в области энергетики»;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bCs/>
          <w:sz w:val="26"/>
          <w:szCs w:val="26"/>
        </w:rPr>
        <w:t xml:space="preserve">Распоряжение Правительства РФ от 06.05.2015 № 816-р «Об утверждении схемы территориального планирования Российской Федерации в области федерального транспорта (в части трубопроводного транспорта)»;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Российской Федерации от 25.12.2015 № 1440 «Об утверждении требований к программам комплексного развития транспортной инфраструктуры поселений, городских округов»;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Российской Федерации от 01.10.2015 № 1050 «Об утверждении требований к программам комплексного развития социальной инфраструктуры поселений, городских округов»;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Российской Федерации от 05.09.2013 № 728 «О схемах водоснабжения и водоотведения»;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Российской Федерации от 11.03.2010 № 138 «Об утверждении Федеральных правил использования воздушного пространства Российской Федерации»;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Российской Федерации от 20.06.2006 № 384 «Об утверждении Правил определения границ зон охраняемых объектов и согласования градостроительных регламентов для таких зон»;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Российской Федерации от 12.02.1999 № 167 «Об утверждении Правил пользования системами коммунального водоснабжения и канализации в Российской Федерации»;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РФ от 18.04.2017 № 360 «О зонах затопления, подтопления»;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РФ от 09.06.1995 № 578 «Об утверждении Правил охраны линий и сооружений связи Российской Федерации»;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31.13330.2012 «СНиП 2.04.02-84 Водоснабжение. Наружные сети и сооружения» (утвержден приказом Минрегиона России от 29.12.2011 № 635/14);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32.13330.2012 «СНиП 2.04.03-85 Канализация. Наружные сети и сооружения» (утвержден приказом Минрегиона России от 29.12.2011 № 635/11);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124.13330.2012 «СНиП 41-02-2003 Тепловые сети» (утвержден приказом Минрегиона России от 30.06.2012 № 280);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113.13330.2016 «СНиП 21-02-99 Стоянки автомобилей» (утвержден приказом Минстроя России от 07.11.2016 № 776/пр);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78.13330.2012 «СНиП 3.06.03-85 Автомобильные дороги» (утвержден приказом Минрегиона России от 30.06.2012 № 272);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44.13330.2011 «СНиП 2.09.04-87* Административные и бытовые здания» (утвержден приказом Минрегиона России от 27.12.2010 №782);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42.13330.2016 «СНиП 2.07.01-89* Градостроительство. Планировка и застройка городских и сельских поселений» (утвержден приказом Минстроя России от 16.12.2016 № 1034/пр);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82.13330.2016 «СНиП III-10-75 Благоустройство территорий» (утвержден приказом Минстроя России от 16.12.2016 № 972/пр);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104.13330.2016 «СНиП 2.06.15-85 Инженерная защита территории от затопления и подтопления» (утвержден приказом Минстроя России от 16.12.2016 № 964/пр);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257.1325800.2016 «Здания гостиниц. Правила проектирования» (утвержден приказом Минстроя России от 20.10.2016 № 724/пр);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320.1325800.2017 «Полигоны для твердых коммунальных отходов. Проектирование, эксплуатация и рекультивация» (утвержден приказом Минстроя России от 17.11.2017 № 1555/пр);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251.1325800.2016 «Здания общеобразовательных организаций. Правила проектирования» (утвержден приказом Минстроя России от 17.08. 2016 № 572/пр);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СП 252.1325800.2016 «Здания дошкольных образовательных организаций. Правила проектирования» (утвержден приказом Минстроя России от 17.08.2016 № 573/пр);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СанПиН 2.2.1/2.1.1.1200-03 «Санитарно-защитные зоны и санитарная классификация предприятий, сооружений и иных объектов» (утверждены постановлением Главного государственного санитарного врача Российской Федерации от 25.09.2007 №74);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СанПиН 2.1.4.1110-02 «Зоны санитарной охраны источников водоснабжения и водопроводов питьевого назначения» (утверждены постановлением Главного государственного санитарного врача Российской Федерации от 14.03.2002 № 10);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СанПиН 2.1.2.3150-13 «Санитарно-эпидемиологические требования к размещению, устройству, оборудованию, содержанию и режиму работы бань и саун» (утверждены постановлением Главного государственного санитарного врача Российской Федерации от 20.12.2013 № 70);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СанПиН 2.4.</w:t>
      </w:r>
      <w:r>
        <w:rPr>
          <w:sz w:val="26"/>
          <w:szCs w:val="26"/>
        </w:rPr>
        <w:t xml:space="preserve">1.3049-13 «Санитарно-эпидемиологические требования к устройству, содержанию и организации режима работы дошкольных образовательных организаций» (утверждены постановлением Главного государственного санитарного врача Российской Федерации от 15.05.2013 № 26);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СанПиН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29.12.2010 № 189);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СанПиН 2.1.2882-11 «Гигиенические требования к размещению, устройству и содержанию кладбищ, зданий и сооружений похоронного назначения» (утверждены постановлением Главного государственного санитарного врача Российской Федерации от 28.06.2011 № 84);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СанПиН 2.1.2.2645-10 «Санитарно-эпидемиологические требования к условиям проживания в жилых зданиях и помещениях» (утверждены постановлением Главного государственного санитарного врача Российской Федерации от 10.06.2010 № 64);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70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СанПиН 2.1.5.980-00.2.1.5. «Водоотведение населенных мест, санитарная охрана водных объектов. Гигиенические требования к охране поверхностных вод» </w:t>
      </w:r>
      <w:r>
        <w:rPr>
          <w:sz w:val="26"/>
          <w:szCs w:val="26"/>
        </w:rPr>
        <w:t xml:space="preserve">(утверждены Главным государственным санитарным врачом Российской Федерации 22.06.2000);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34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Закон Новосибирской области от 02.06.2004 № 200-ОЗ «О статусе и границах муниципальных образований Новосибирской области»;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34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Закон Новосибирской области от 16.03.2006 № 4-ОЗ «Об административно-территориальном устройстве Новосибирской области»;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34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Закон Новосибирской области от 17.12.2004 № 246-ОЗ «Об административных центрах муниципальных районов и сельских поселений Новосибирской области»;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992" w:hanging="643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Новосибирской области от 19.03.2019 № 105-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numPr>
          <w:ilvl w:val="0"/>
          <w:numId w:val="0"/>
        </w:numPr>
        <w:contextualSpacing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 «О Стратегии социально-экономического развития Новосибирской области на период до 2030 года»;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contextualSpacing/>
        <w:ind w:left="0" w:firstLine="349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Устав Усть-Таркского сельсовета Усть-Таркского района Новосибирской области.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numPr>
          <w:ilvl w:val="0"/>
          <w:numId w:val="0"/>
        </w:numPr>
        <w:contextualSpacing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6"/>
        <w:numPr>
          <w:ilvl w:val="0"/>
          <w:numId w:val="0"/>
        </w:numPr>
        <w:contextualSpacing/>
        <w:ind w:firstLine="709"/>
        <w:tabs>
          <w:tab w:val="left" w:pos="993" w:leader="none"/>
        </w:tabs>
        <w:rPr>
          <w:rStyle w:val="955"/>
          <w:b/>
          <w:bCs/>
          <w:caps/>
          <w:sz w:val="26"/>
          <w:szCs w:val="26"/>
        </w:rPr>
      </w:pPr>
      <w:r>
        <w:br w:type="column"/>
      </w:r>
      <w:r>
        <w:rPr>
          <w:b/>
          <w:sz w:val="26"/>
          <w:szCs w:val="26"/>
        </w:rPr>
        <w:t xml:space="preserve">1 </w:t>
      </w:r>
      <w:r>
        <w:rPr>
          <w:b/>
          <w:sz w:val="26"/>
          <w:szCs w:val="26"/>
        </w:rPr>
        <w:tab/>
      </w:r>
      <w:r>
        <w:rPr>
          <w:rStyle w:val="955"/>
          <w:b/>
          <w:caps/>
          <w:sz w:val="26"/>
          <w:szCs w:val="26"/>
        </w:rPr>
        <w:t xml:space="preserve">Общие сведения об усть-таркскском сельсовете</w:t>
      </w:r>
      <w:r>
        <w:rPr>
          <w:rStyle w:val="955"/>
          <w:b/>
          <w:bCs/>
          <w:caps/>
          <w:sz w:val="26"/>
          <w:szCs w:val="26"/>
        </w:rPr>
      </w:r>
      <w:r>
        <w:rPr>
          <w:rStyle w:val="955"/>
          <w:b/>
          <w:bCs/>
          <w:caps/>
          <w:sz w:val="26"/>
          <w:szCs w:val="26"/>
        </w:rPr>
      </w:r>
    </w:p>
    <w:p>
      <w:pPr>
        <w:pStyle w:val="1018"/>
        <w:contextualSpacing/>
        <w:ind w:right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54"/>
        <w:numPr>
          <w:ilvl w:val="1"/>
          <w:numId w:val="9"/>
        </w:numPr>
        <w:contextualSpacing/>
        <w:spacing w:after="0"/>
        <w:rPr>
          <w:b/>
          <w:sz w:val="26"/>
          <w:szCs w:val="26"/>
        </w:rPr>
      </w:pPr>
      <w:r/>
      <w:bookmarkStart w:id="2" w:name="_Toc118276394"/>
      <w:r>
        <w:rPr>
          <w:b/>
          <w:sz w:val="26"/>
          <w:szCs w:val="26"/>
        </w:rPr>
        <w:t xml:space="preserve">Основные сведения</w:t>
      </w:r>
      <w:bookmarkEnd w:id="2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r/>
      <w:r/>
    </w:p>
    <w:p>
      <w:pPr>
        <w:ind w:firstLine="567"/>
        <w:spacing w:after="0"/>
        <w:rPr>
          <w:color w:val="000000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</w:rPr>
        <w:t xml:space="preserve">Усть-Таркский сельсовет расположен в Усть-Таркском районе Новосибирской области. Усть-Таркский сельсовет состоит из объединенных общей территорией следующих населенных пунктов: деревня Богословка, село Усть-Тарка. Село</w:t>
      </w:r>
      <w:r>
        <w:rPr>
          <w:color w:val="ff0000"/>
          <w:sz w:val="26"/>
        </w:rPr>
        <w:t xml:space="preserve"> </w:t>
      </w:r>
      <w:r>
        <w:rPr>
          <w:color w:val="000000"/>
          <w:sz w:val="26"/>
        </w:rPr>
        <w:t xml:space="preserve">Усть-Тарка является районным центром Усть-Таркского района и административным центром Усть-Таркского</w:t>
      </w:r>
      <w:r>
        <w:rPr>
          <w:color w:val="ff0000"/>
          <w:sz w:val="26"/>
        </w:rPr>
        <w:t xml:space="preserve"> </w:t>
      </w:r>
      <w:r>
        <w:rPr>
          <w:color w:val="000000"/>
          <w:sz w:val="26"/>
        </w:rPr>
        <w:t xml:space="preserve">сельсовета. Территория сельсовета расположена в северо-западной части Новосибирской области на расстоянии 525 км</w:t>
      </w:r>
      <w:r>
        <w:rPr>
          <w:color w:val="000000"/>
          <w:sz w:val="20"/>
        </w:rPr>
        <w:t xml:space="preserve"> </w:t>
      </w:r>
      <w:r>
        <w:rPr>
          <w:color w:val="000000"/>
          <w:sz w:val="26"/>
        </w:rPr>
        <w:t xml:space="preserve">от областного центра г. Новосибирска и в 59 км от ближайшей железнодорожной станции «Татарская». Расстояния до соседних районных центров: г. Татарск - 59 км., с. Венгерово – 75 км., с. Нижнеомка – 70</w:t>
      </w:r>
      <w:r>
        <w:rPr>
          <w:color w:val="000000"/>
          <w:sz w:val="26"/>
        </w:rPr>
        <w:t xml:space="preserve"> км. Связь с Омской областью и Венгеровским районом Новосибирской области осуществляется по дороге «Омск – Новосибирск» (Московский тракт). Кроме этого в северо-восточном направлении проходит автомобильная дорога областного значения «Усть-Тарка – Петрово».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Численность постоянного населения Усть-Таркского сельсовета по состоянию на 01.01.2022 года – 4369 человек.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Местное самоуправление осуществляется на всей территории Усть-Таркс</w:t>
      </w:r>
      <w:r>
        <w:rPr>
          <w:sz w:val="26"/>
          <w:szCs w:val="26"/>
        </w:rPr>
        <w:t xml:space="preserve">кого сельсовета в пределах границ, установленных Законом Новосибирской области от 02.06.2004 № 200-ОЗ (ред. от 05.12.2011) «О статусе и границах муниципальных образований Новосибирской области». Усть-Таркский сельсовет наделен статусом сельского поселения.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/>
      </w:pPr>
      <w:r>
        <w:rPr>
          <w:sz w:val="26"/>
          <w:szCs w:val="26"/>
        </w:rPr>
        <w:t xml:space="preserve">На севере сельсовет граничит с Кушаговским сельсоветом, на юге с Татарским муниципальным районом, на западе граничит с Козинским сельсоветом, на востоке – с Камышевским сельсоветом.</w:t>
      </w:r>
      <w:r/>
    </w:p>
    <w:p>
      <w:pPr>
        <w:ind w:firstLine="720"/>
        <w:spacing w:after="0"/>
      </w:pPr>
      <w:r>
        <w:rPr>
          <w:sz w:val="26"/>
          <w:szCs w:val="26"/>
        </w:rPr>
        <w:t xml:space="preserve">Сложившееся сельское расселение отражает тесную взаимосвязь физико-географических условий, исторических особенностей заселения территории и ее хозяйственного освоения. </w:t>
      </w:r>
      <w:r/>
    </w:p>
    <w:p>
      <w:pPr>
        <w:ind w:firstLine="720"/>
        <w:spacing w:after="0"/>
      </w:pPr>
      <w:r>
        <w:rPr>
          <w:sz w:val="26"/>
          <w:szCs w:val="26"/>
        </w:rPr>
        <w:t xml:space="preserve">На перспективу сложившаяся система расселения сохранит свою структуру. Градостроительное развитие предлагается осуществлять в существующих границах населенного пункта или с учетом их расширения. </w:t>
      </w:r>
      <w:r/>
    </w:p>
    <w:p>
      <w:pPr>
        <w:contextualSpacing/>
        <w:ind w:firstLine="567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В состав сельсовета, кроме с. Усть-Тарки, входит д. Богословка.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Таблица 1. – Характеристика расселения по сельскому поселению.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1800" w:hanging="180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079"/>
        <w:gridCol w:w="1430"/>
        <w:gridCol w:w="1275"/>
        <w:gridCol w:w="1713"/>
        <w:gridCol w:w="2444"/>
      </w:tblGrid>
      <w:tr>
        <w:trPr/>
        <w:tc>
          <w:tcPr>
            <w:shd w:val="clear" w:color="auto" w:fill="auto"/>
            <w:tcBorders>
              <w:bottom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№ п/п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Наименование поселения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43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Площадь поселения, га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Кол–во нас. пунктов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1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Населенные пункты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44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Численность населения, чел.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 01.01.21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43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71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5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244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6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rPr/>
        <w:tc>
          <w:tcPr>
            <w:tcBorders>
              <w:top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left="0"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сельсовет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</w:tcBorders>
            <w:tcW w:w="143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rFonts w:eastAsia="Calibri"/>
                <w:color w:val="2c2d2e"/>
                <w:sz w:val="26"/>
                <w:szCs w:val="26"/>
                <w:highlight w:val="white"/>
              </w:rPr>
              <w:t xml:space="preserve"> 19917,8га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</w:tcBorders>
            <w:tcW w:w="1713" w:type="dxa"/>
            <w:vAlign w:val="center"/>
            <w:textDirection w:val="lrTb"/>
            <w:noWrap w:val="false"/>
          </w:tcPr>
          <w:p>
            <w:pPr>
              <w:contextualSpacing/>
              <w:ind w:left="57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</w:tcBorders>
            <w:tcW w:w="244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4054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97" w:hRule="exact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pStyle w:val="932"/>
              <w:numPr>
                <w:ilvl w:val="0"/>
                <w:numId w:val="4"/>
              </w:numPr>
              <w:ind w:left="0" w:firstLine="0"/>
              <w:jc w:val="left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079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430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13" w:type="dxa"/>
            <w:vAlign w:val="center"/>
            <w:textDirection w:val="lrTb"/>
            <w:noWrap w:val="false"/>
          </w:tcPr>
          <w:p>
            <w:pPr>
              <w:contextualSpacing/>
              <w:ind w:left="57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4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97" w:hRule="exact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pStyle w:val="932"/>
              <w:numPr>
                <w:ilvl w:val="0"/>
                <w:numId w:val="4"/>
              </w:numPr>
              <w:ind w:left="0" w:firstLine="0"/>
              <w:jc w:val="left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079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430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13" w:type="dxa"/>
            <w:vAlign w:val="center"/>
            <w:textDirection w:val="lrTb"/>
            <w:noWrap w:val="false"/>
          </w:tcPr>
          <w:p>
            <w:pPr>
              <w:contextualSpacing/>
              <w:ind w:left="57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Итого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4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4369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contextualSpacing/>
        <w:ind w:left="1800" w:hanging="180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numPr>
          <w:ilvl w:val="1"/>
          <w:numId w:val="9"/>
        </w:numPr>
        <w:contextualSpacing/>
        <w:spacing w:after="0"/>
        <w:rPr>
          <w:b/>
          <w:bCs/>
          <w:sz w:val="26"/>
          <w:szCs w:val="26"/>
        </w:rPr>
      </w:pPr>
      <w:r/>
      <w:bookmarkStart w:id="3" w:name="_Toc118276395"/>
      <w:r>
        <w:rPr>
          <w:b/>
          <w:sz w:val="26"/>
          <w:szCs w:val="26"/>
        </w:rPr>
        <w:t xml:space="preserve">Краткая историческая справка</w:t>
      </w:r>
      <w:bookmarkEnd w:id="3"/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567"/>
        <w:spacing w:before="105" w:after="105"/>
        <w:shd w:val="clear" w:color="ffffff" w:fill="ffffff"/>
        <w:rPr>
          <w:color w:val="000000" w:themeColor="text1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ind w:firstLine="567"/>
        <w:spacing w:before="105" w:after="105"/>
        <w:shd w:val="clear" w:color="ffffff" w:fill="ffffff"/>
        <w:rPr>
          <w:rFonts w:eastAsia="Arial"/>
          <w:color w:val="000000" w:themeColor="text1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eastAsia="Arial"/>
          <w:color w:val="000000" w:themeColor="text1"/>
          <w:sz w:val="26"/>
          <w:szCs w:val="26"/>
        </w:rPr>
        <w:t xml:space="preserve">Основано в </w:t>
      </w:r>
      <w:hyperlink r:id="rId13" w:tooltip="1752 год" w:history="1">
        <w:r>
          <w:rPr>
            <w:rStyle w:val="972"/>
            <w:rFonts w:eastAsia="Arial"/>
            <w:color w:val="000000" w:themeColor="text1"/>
            <w:sz w:val="26"/>
            <w:szCs w:val="26"/>
            <w:u w:val="none"/>
          </w:rPr>
          <w:t xml:space="preserve">1752 году</w:t>
        </w:r>
      </w:hyperlink>
      <w:r>
        <w:rPr>
          <w:rFonts w:eastAsia="Arial"/>
          <w:color w:val="000000" w:themeColor="text1"/>
          <w:sz w:val="26"/>
          <w:szCs w:val="26"/>
        </w:rPr>
        <w:t xml:space="preserve"> как колония ссыльных Усть-Тарка при устье речки Тарки в </w:t>
      </w:r>
      <w:hyperlink r:id="rId14" w:tooltip="Тарский уезд" w:history="1">
        <w:r>
          <w:rPr>
            <w:rStyle w:val="972"/>
            <w:rFonts w:eastAsia="Arial"/>
            <w:color w:val="000000" w:themeColor="text1"/>
            <w:sz w:val="26"/>
            <w:szCs w:val="26"/>
            <w:u w:val="none"/>
          </w:rPr>
          <w:t xml:space="preserve">Тарском уезде</w:t>
        </w:r>
      </w:hyperlink>
      <w:r>
        <w:rPr>
          <w:rFonts w:eastAsia="Arial"/>
          <w:color w:val="000000" w:themeColor="text1"/>
          <w:sz w:val="26"/>
          <w:szCs w:val="26"/>
        </w:rPr>
        <w:t xml:space="preserve"> Сибирской губернии. В 1771 году насчитывалось 50 дворов и 89 колонистов. Первыми ссыльными жителями были выходцы из Малоросских губерний и </w:t>
      </w:r>
      <w:hyperlink r:id="rId15" w:tooltip="Дон (река)" w:history="1">
        <w:r>
          <w:rPr>
            <w:rStyle w:val="972"/>
            <w:rFonts w:eastAsia="Arial"/>
            <w:color w:val="000000" w:themeColor="text1"/>
            <w:sz w:val="26"/>
            <w:szCs w:val="26"/>
            <w:u w:val="none"/>
          </w:rPr>
          <w:t xml:space="preserve">Дона</w:t>
        </w:r>
      </w:hyperlink>
      <w:r>
        <w:rPr>
          <w:rFonts w:eastAsia="Arial"/>
          <w:color w:val="000000" w:themeColor="text1"/>
          <w:sz w:val="26"/>
          <w:szCs w:val="26"/>
        </w:rPr>
        <w:t xml:space="preserve">.</w:t>
      </w:r>
      <w:r>
        <w:rPr>
          <w:rFonts w:eastAsia="Arial"/>
          <w:color w:val="000000" w:themeColor="text1"/>
          <w:sz w:val="26"/>
          <w:szCs w:val="26"/>
        </w:rPr>
      </w:r>
      <w:r>
        <w:rPr>
          <w:rFonts w:eastAsia="Arial"/>
          <w:color w:val="000000" w:themeColor="text1"/>
          <w:sz w:val="26"/>
          <w:szCs w:val="26"/>
        </w:rPr>
      </w:r>
    </w:p>
    <w:p>
      <w:pPr>
        <w:ind w:firstLine="567"/>
        <w:spacing w:before="105" w:after="105"/>
        <w:shd w:val="clear" w:color="ffffff" w:fill="ffffff"/>
        <w:rPr>
          <w:color w:val="000000" w:themeColor="text1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eastAsia="Arial"/>
          <w:color w:val="000000" w:themeColor="text1"/>
          <w:sz w:val="26"/>
          <w:szCs w:val="26"/>
        </w:rPr>
        <w:t xml:space="preserve">С начала 19-го века через Усть-Тарку проходит так называемый </w:t>
      </w:r>
      <w:hyperlink r:id="rId16" w:tooltip="Сибирский тракт" w:history="1">
        <w:r>
          <w:rPr>
            <w:rStyle w:val="972"/>
            <w:rFonts w:eastAsia="Arial"/>
            <w:color w:val="000000" w:themeColor="text1"/>
            <w:sz w:val="26"/>
            <w:szCs w:val="26"/>
            <w:u w:val="none"/>
          </w:rPr>
          <w:t xml:space="preserve">Старый Московско-Сибирский Тракт</w:t>
        </w:r>
      </w:hyperlink>
      <w:r>
        <w:rPr>
          <w:rFonts w:eastAsia="Arial"/>
          <w:color w:val="000000" w:themeColor="text1"/>
          <w:sz w:val="26"/>
          <w:szCs w:val="26"/>
        </w:rPr>
        <w:t xml:space="preserve"> — дорога, соединявшая два столетия Москву с Сибирью (позднее с Китаем), новая же федеральная автомобильная дорога </w:t>
      </w:r>
      <w:hyperlink r:id="rId17" w:tooltip="Байкал (автомагистраль)" w:history="1">
        <w:r>
          <w:rPr>
            <w:rStyle w:val="972"/>
            <w:rFonts w:eastAsia="Arial"/>
            <w:color w:val="000000" w:themeColor="text1"/>
            <w:sz w:val="26"/>
            <w:szCs w:val="26"/>
            <w:u w:val="none"/>
          </w:rPr>
          <w:t xml:space="preserve">М-51 «Байкал»</w:t>
        </w:r>
      </w:hyperlink>
      <w:r>
        <w:rPr>
          <w:rFonts w:eastAsia="Arial"/>
          <w:color w:val="000000" w:themeColor="text1"/>
          <w:sz w:val="26"/>
          <w:szCs w:val="26"/>
        </w:rPr>
        <w:t xml:space="preserve"> проложена 55 км южнее, и её пересекает дорога Усть-Тарка — </w:t>
      </w:r>
      <w:hyperlink r:id="rId18" w:tooltip="Карасук (город)" w:history="1">
        <w:r>
          <w:rPr>
            <w:rStyle w:val="972"/>
            <w:rFonts w:eastAsia="Arial"/>
            <w:color w:val="000000" w:themeColor="text1"/>
            <w:sz w:val="26"/>
            <w:szCs w:val="26"/>
            <w:u w:val="none"/>
          </w:rPr>
          <w:t xml:space="preserve">Карасук</w:t>
        </w:r>
      </w:hyperlink>
      <w:r>
        <w:rPr>
          <w:rFonts w:eastAsia="Arial"/>
          <w:color w:val="000000" w:themeColor="text1"/>
          <w:sz w:val="26"/>
          <w:szCs w:val="26"/>
        </w:rPr>
        <w:t xml:space="preserve">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ind w:firstLine="567"/>
        <w:spacing w:before="105" w:after="105"/>
        <w:shd w:val="clear" w:color="ffffff" w:fill="ffffff"/>
        <w:rPr>
          <w:color w:val="000000" w:themeColor="text1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eastAsia="Arial"/>
          <w:color w:val="000000" w:themeColor="text1"/>
          <w:sz w:val="26"/>
          <w:szCs w:val="26"/>
        </w:rPr>
        <w:t xml:space="preserve">Усть-Тарка связана автобусными маршрутами с населёнными пунктам Усть-Таркского района и городом </w:t>
      </w:r>
      <w:r>
        <w:rPr>
          <w:rFonts w:eastAsia="Arial"/>
          <w:color w:val="000000" w:themeColor="text1"/>
          <w:sz w:val="26"/>
          <w:szCs w:val="26"/>
          <w:highlight w:val="white"/>
          <w:shd w:val="clear" w:color="ffffff" w:themeColor="background1" w:fill="ffffff" w:themeFill="background1"/>
        </w:rPr>
        <w:t xml:space="preserve">Татарск. 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ind w:firstLine="567"/>
        <w:spacing w:after="0" w:line="85" w:lineRule="atLeast"/>
        <w:rPr>
          <w:color w:val="000000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</w:rPr>
        <w:t xml:space="preserve">Усть-Таркский сельсовет был образован в 1917 году. В 1997 году преобразован в Администрацию муниципального образования Усть-Таркского сельсовета.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567"/>
        <w:spacing w:before="105" w:after="105"/>
        <w:shd w:val="clear" w:color="ffffff" w:fill="ffffff"/>
        <w:rPr>
          <w:color w:val="000000" w:themeColor="text1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eastAsia="Arial"/>
          <w:color w:val="000000" w:themeColor="text1"/>
          <w:sz w:val="26"/>
          <w:szCs w:val="26"/>
        </w:rPr>
        <w:t xml:space="preserve">Усть-Тарка стала районным центром </w:t>
      </w:r>
      <w:hyperlink r:id="rId19" w:tooltip="17 апреля" w:history="1">
        <w:r>
          <w:rPr>
            <w:rStyle w:val="972"/>
            <w:rFonts w:eastAsia="Arial"/>
            <w:color w:val="000000" w:themeColor="text1"/>
            <w:sz w:val="26"/>
            <w:szCs w:val="26"/>
            <w:u w:val="none"/>
          </w:rPr>
          <w:t xml:space="preserve">17 апреля</w:t>
        </w:r>
      </w:hyperlink>
      <w:r>
        <w:rPr>
          <w:rFonts w:eastAsia="Arial"/>
          <w:color w:val="000000" w:themeColor="text1"/>
          <w:sz w:val="26"/>
          <w:szCs w:val="26"/>
        </w:rPr>
        <w:t xml:space="preserve"> </w:t>
      </w:r>
      <w:hyperlink r:id="rId20" w:tooltip="1936 год" w:history="1">
        <w:r>
          <w:rPr>
            <w:rStyle w:val="972"/>
            <w:rFonts w:eastAsia="Arial"/>
            <w:color w:val="000000" w:themeColor="text1"/>
            <w:sz w:val="26"/>
            <w:szCs w:val="26"/>
            <w:u w:val="none"/>
          </w:rPr>
          <w:t xml:space="preserve">1936 года</w:t>
        </w:r>
      </w:hyperlink>
      <w:r>
        <w:rPr>
          <w:rFonts w:eastAsia="Arial"/>
          <w:color w:val="000000" w:themeColor="text1"/>
          <w:sz w:val="26"/>
          <w:szCs w:val="26"/>
        </w:rPr>
        <w:t xml:space="preserve">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ind w:firstLine="567"/>
        <w:spacing w:after="0" w:line="85" w:lineRule="atLeast"/>
        <w:rPr>
          <w:color w:val="000000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54"/>
        <w:contextualSpacing/>
        <w:ind w:firstLine="992"/>
        <w:spacing w:after="0"/>
        <w:tabs>
          <w:tab w:val="left" w:pos="993" w:leader="none"/>
        </w:tabs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</w:r>
      <w:r>
        <w:rPr>
          <w:b/>
          <w:bCs/>
          <w:caps/>
          <w:sz w:val="26"/>
          <w:szCs w:val="26"/>
        </w:rPr>
      </w:r>
      <w:r>
        <w:rPr>
          <w:b/>
          <w:bCs/>
          <w:caps/>
          <w:sz w:val="26"/>
          <w:szCs w:val="26"/>
        </w:rPr>
      </w:r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r/>
    </w:p>
    <w:p>
      <w:pPr>
        <w:pStyle w:val="954"/>
        <w:contextualSpacing/>
        <w:ind w:firstLine="992"/>
        <w:spacing w:after="0"/>
        <w:tabs>
          <w:tab w:val="left" w:pos="993" w:leader="none"/>
        </w:tabs>
      </w:pPr>
      <w:r/>
      <w:bookmarkStart w:id="4" w:name="_Toc118276396"/>
      <w:r>
        <w:rPr>
          <w:b/>
          <w:caps/>
          <w:sz w:val="26"/>
          <w:szCs w:val="26"/>
        </w:rPr>
        <w:t xml:space="preserve">2 </w:t>
      </w:r>
      <w:r>
        <w:rPr>
          <w:b/>
          <w:caps/>
          <w:sz w:val="26"/>
          <w:szCs w:val="26"/>
        </w:rPr>
        <w:tab/>
        <w:t xml:space="preserve">Анализ реализации положений действующего генерального плана</w:t>
      </w:r>
      <w:bookmarkEnd w:id="4"/>
      <w:r/>
      <w:r/>
    </w:p>
    <w:p>
      <w:pPr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right="265" w:firstLine="284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Действующий генеральный план Усть-Тарского сельсов</w:t>
      </w:r>
      <w:r>
        <w:rPr>
          <w:sz w:val="26"/>
          <w:szCs w:val="26"/>
        </w:rPr>
        <w:t xml:space="preserve">ета Усть-Таркского района Новосибирской области, утвержденный в 2013 году, разработан Общество с ограниченной ответственностью научно- производственный центр «ЗЕМЕЛЬНЫЕ РЕСУРСЫ СИБИРИ-2» (ООО НПЦ «ЗЕМЕЛЬНЫЕ РЕСУРСЫ СИБИРИ-2») с расчетным сроком – 2032 год.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 w:firstLine="284"/>
        <w:rPr>
          <w:sz w:val="26"/>
          <w:szCs w:val="26"/>
          <w:highlight w:val="yellow"/>
        </w:rPr>
      </w:pPr>
      <w:r>
        <w:rPr>
          <w:sz w:val="26"/>
          <w:szCs w:val="26"/>
          <w:lang w:eastAsia="ru-RU"/>
        </w:rPr>
        <w:t xml:space="preserve">    Генеральный план представлял собой комплексный документ по развитию сельсовета до 2032 года с проектной численностью населения 6015 человек.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pStyle w:val="1018"/>
        <w:contextualSpacing/>
        <w:ind w:right="0" w:firstLine="284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   Действующий генеральный план предполагал </w:t>
      </w:r>
      <w:r>
        <w:rPr>
          <w:sz w:val="26"/>
          <w:szCs w:val="26"/>
        </w:rPr>
        <w:t xml:space="preserve">мероприятия для </w:t>
      </w:r>
      <w:r>
        <w:rPr>
          <w:sz w:val="26"/>
          <w:szCs w:val="26"/>
          <w:lang w:eastAsia="ru-RU"/>
        </w:rPr>
        <w:t xml:space="preserve">дальнейшего</w:t>
      </w:r>
      <w:r>
        <w:rPr>
          <w:sz w:val="26"/>
          <w:szCs w:val="26"/>
        </w:rPr>
        <w:t xml:space="preserve"> развития  Усть-Таркского сельсовета</w:t>
      </w:r>
      <w:r>
        <w:rPr>
          <w:sz w:val="26"/>
          <w:szCs w:val="26"/>
          <w:lang w:eastAsia="ru-RU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38"/>
        </w:numPr>
        <w:ind w:left="567" w:firstLine="0"/>
        <w:spacing w:after="57" w:line="240" w:lineRule="auto"/>
        <w:tabs>
          <w:tab w:val="left" w:pos="70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модернизация существующих объектов с целью улучшения условий и повышения уровня комфортности (за счет уменьшения количества детей в группах, создания отдельных спальных комнат и других мероприятий);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38"/>
        </w:numPr>
        <w:ind w:left="567" w:firstLine="0"/>
        <w:spacing w:after="57" w:line="240" w:lineRule="auto"/>
        <w:tabs>
          <w:tab w:val="left" w:pos="708" w:leader="none"/>
        </w:tabs>
      </w:pPr>
      <w:r>
        <w:rPr>
          <w:sz w:val="26"/>
          <w:szCs w:val="26"/>
        </w:rPr>
        <w:t xml:space="preserve">стимулирование общеобразовательных учреждений, активно внедряющих инновационные образовательные программы;</w:t>
      </w:r>
      <w:r/>
    </w:p>
    <w:p>
      <w:pPr>
        <w:numPr>
          <w:ilvl w:val="0"/>
          <w:numId w:val="38"/>
        </w:numPr>
        <w:ind w:left="567" w:firstLine="0"/>
        <w:spacing w:after="57" w:line="240" w:lineRule="auto"/>
        <w:tabs>
          <w:tab w:val="left" w:pos="708" w:leader="none"/>
        </w:tabs>
      </w:pPr>
      <w:r>
        <w:rPr>
          <w:sz w:val="26"/>
          <w:szCs w:val="26"/>
        </w:rPr>
        <w:t xml:space="preserve">внедрение современных образовательных технологий (выход в Интернет и компьютеризация сельских школ);</w:t>
      </w:r>
      <w:r/>
    </w:p>
    <w:p>
      <w:pPr>
        <w:numPr>
          <w:ilvl w:val="0"/>
          <w:numId w:val="38"/>
        </w:numPr>
        <w:ind w:left="567" w:firstLine="0"/>
        <w:spacing w:after="57" w:line="240" w:lineRule="auto"/>
        <w:tabs>
          <w:tab w:val="left" w:pos="708" w:leader="none"/>
        </w:tabs>
      </w:pPr>
      <w:r>
        <w:rPr>
          <w:sz w:val="26"/>
          <w:szCs w:val="26"/>
        </w:rPr>
        <w:t xml:space="preserve">обеспечение автобусами сельских школ;</w:t>
      </w:r>
      <w:r/>
    </w:p>
    <w:p>
      <w:pPr>
        <w:numPr>
          <w:ilvl w:val="0"/>
          <w:numId w:val="38"/>
        </w:numPr>
        <w:ind w:left="567" w:firstLine="0"/>
        <w:spacing w:after="57" w:line="240" w:lineRule="auto"/>
        <w:tabs>
          <w:tab w:val="left" w:pos="708" w:leader="none"/>
        </w:tabs>
      </w:pPr>
      <w:r>
        <w:rPr>
          <w:sz w:val="26"/>
          <w:szCs w:val="26"/>
        </w:rPr>
        <w:t xml:space="preserve">оснащение школ учебными и учебно-наглядными пособиями и оборудованием.</w:t>
      </w:r>
      <w:r/>
    </w:p>
    <w:p>
      <w:pPr>
        <w:numPr>
          <w:ilvl w:val="0"/>
          <w:numId w:val="38"/>
        </w:numPr>
        <w:ind w:left="567" w:firstLine="0"/>
        <w:spacing w:after="57" w:line="240" w:lineRule="auto"/>
        <w:tabs>
          <w:tab w:val="left" w:pos="708" w:leader="none"/>
        </w:tabs>
      </w:pPr>
      <w:r>
        <w:rPr>
          <w:sz w:val="26"/>
          <w:szCs w:val="26"/>
        </w:rPr>
        <w:t xml:space="preserve">капитальный и текущий ремонт образовательных учреждений.</w:t>
      </w:r>
      <w:r/>
    </w:p>
    <w:p>
      <w:pPr>
        <w:pStyle w:val="938"/>
        <w:contextualSpacing/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Кроме того, кардинальные изменения требований законодательства РФ к составу и содержанию документов территориального планирования, изменений документов территориального планирования РФ, Новосибирской области, дан</w:t>
      </w:r>
      <w:r>
        <w:rPr>
          <w:sz w:val="26"/>
          <w:szCs w:val="26"/>
        </w:rPr>
        <w:t xml:space="preserve">ных Единого государственного реестра недвижимости (ЕГРН) за период с момента утверждения документов территориального планирования и градостроительного зонирования Усть-Таркского сельсовета способствовали подготовке утвержденных документов в новой редакции.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rPr>
          <w:color w:val="ff0000"/>
          <w:lang w:eastAsia="ru-RU"/>
        </w:rPr>
      </w:pPr>
      <w:r>
        <w:rPr>
          <w:color w:val="ff0000"/>
          <w:lang w:eastAsia="ru-RU"/>
        </w:rPr>
      </w:r>
      <w:r>
        <w:rPr>
          <w:color w:val="ff0000"/>
          <w:lang w:eastAsia="ru-RU"/>
        </w:rPr>
      </w:r>
      <w:r>
        <w:rPr>
          <w:color w:val="ff0000"/>
          <w:lang w:eastAsia="ru-RU"/>
        </w:rPr>
      </w:r>
    </w:p>
    <w:p>
      <w:pPr>
        <w:pStyle w:val="1018"/>
        <w:contextualSpacing/>
        <w:ind w:right="0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954"/>
        <w:contextualSpacing/>
        <w:ind w:left="993" w:hanging="284"/>
        <w:spacing w:after="0"/>
        <w:tabs>
          <w:tab w:val="left" w:pos="993" w:leader="none"/>
        </w:tabs>
        <w:rPr>
          <w:b/>
          <w:caps/>
          <w:sz w:val="26"/>
          <w:szCs w:val="26"/>
        </w:rPr>
      </w:pPr>
      <w:r>
        <w:rPr>
          <w:b/>
          <w:caps/>
          <w:sz w:val="24"/>
        </w:rPr>
        <w:br w:type="column"/>
      </w:r>
      <w:r>
        <w:rPr>
          <w:b/>
          <w:caps/>
          <w:sz w:val="26"/>
          <w:szCs w:val="26"/>
        </w:rPr>
        <w:t xml:space="preserve">3 </w:t>
      </w:r>
      <w:r>
        <w:rPr>
          <w:b/>
          <w:caps/>
          <w:sz w:val="26"/>
          <w:szCs w:val="26"/>
        </w:rPr>
        <w:tab/>
        <w:t xml:space="preserve">Анализ использования территории Усть-Таркского сельсовета Усть-Таркского района Новосибирской области</w:t>
      </w:r>
      <w:r>
        <w:rPr>
          <w:b/>
          <w:caps/>
          <w:sz w:val="26"/>
          <w:szCs w:val="26"/>
        </w:rPr>
      </w:r>
      <w:r>
        <w:rPr>
          <w:b/>
          <w:caps/>
          <w:sz w:val="26"/>
          <w:szCs w:val="26"/>
        </w:rPr>
      </w:r>
    </w:p>
    <w:p>
      <w:pPr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4"/>
        <w:contextualSpacing/>
        <w:rPr>
          <w:b/>
          <w:sz w:val="26"/>
          <w:szCs w:val="26"/>
        </w:rPr>
      </w:pPr>
      <w:r/>
      <w:bookmarkStart w:id="5" w:name="_Toc118276398"/>
      <w:r>
        <w:rPr>
          <w:b/>
          <w:sz w:val="26"/>
          <w:szCs w:val="26"/>
        </w:rPr>
        <w:t xml:space="preserve">3.1 Природные условия и ресурсы</w:t>
      </w:r>
      <w:bookmarkEnd w:id="5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720"/>
        <w:spacing w:after="0" w:line="240" w:lineRule="auto"/>
      </w:pPr>
      <w:r>
        <w:rPr>
          <w:sz w:val="26"/>
          <w:szCs w:val="26"/>
        </w:rPr>
        <w:t xml:space="preserve">Климат Усть-Таркского сельсовета относится к континентальному типу с холодной зимой и жарким летом. Для него характерны резкие колебания температуры и осадков.</w:t>
      </w:r>
      <w:r/>
    </w:p>
    <w:p>
      <w:pPr>
        <w:ind w:firstLine="720"/>
        <w:spacing w:after="0" w:line="240" w:lineRule="auto"/>
      </w:pPr>
      <w:r>
        <w:rPr>
          <w:sz w:val="26"/>
          <w:szCs w:val="26"/>
        </w:rPr>
        <w:t xml:space="preserve">Средняя температура января от -19,1°С. Средняя температура июля + 19,1°С. Абсолютный минимум температуры -44,9°С, абсолютный максимум 37,8°С.</w:t>
      </w:r>
      <w:r/>
    </w:p>
    <w:p>
      <w:pPr>
        <w:ind w:firstLine="720"/>
        <w:spacing w:after="0" w:line="240" w:lineRule="auto"/>
      </w:pPr>
      <w:r>
        <w:rPr>
          <w:sz w:val="26"/>
          <w:szCs w:val="26"/>
        </w:rPr>
        <w:t xml:space="preserve">По количеству атмосферных осадков район относится к зоне избыточного увлажнения.</w:t>
      </w:r>
      <w:r/>
    </w:p>
    <w:p>
      <w:pPr>
        <w:ind w:firstLine="720"/>
        <w:spacing w:after="0" w:line="240" w:lineRule="auto"/>
      </w:pPr>
      <w:r>
        <w:rPr>
          <w:sz w:val="26"/>
          <w:szCs w:val="26"/>
        </w:rPr>
        <w:t xml:space="preserve">Среднегодовая относительная влажность воздуха составляет 70 %, максимальная в ноябре-декабре – 82 %, минимальная в мае – 61 %.</w:t>
      </w:r>
      <w:r/>
    </w:p>
    <w:p>
      <w:pPr>
        <w:ind w:firstLine="720"/>
        <w:spacing w:after="0" w:line="240" w:lineRule="auto"/>
      </w:pPr>
      <w:r>
        <w:rPr>
          <w:sz w:val="26"/>
          <w:szCs w:val="26"/>
        </w:rPr>
        <w:t xml:space="preserve">Для сурового климата сельсовета, холодной, продолжительной зимой и коротким вегетационным периодом, характерен недостаток осадков в мае и июне, т.е. в самые ответственные ме</w:t>
      </w:r>
      <w:r>
        <w:rPr>
          <w:sz w:val="26"/>
          <w:szCs w:val="26"/>
        </w:rPr>
        <w:t xml:space="preserve">сяцы для развития сельскохозяйственных культур. Примерно в один год из десяти наблюдаются сильные и продолжительные засухи, когда почти не бывает осадков весной и в первую половину лета. Часто мало осадков бывает и в предшествующую зиму, а иногда и осенью.</w:t>
      </w:r>
      <w:r/>
    </w:p>
    <w:p>
      <w:pPr>
        <w:ind w:firstLine="720"/>
        <w:spacing w:after="0" w:line="240" w:lineRule="auto"/>
      </w:pPr>
      <w:r>
        <w:rPr>
          <w:sz w:val="26"/>
          <w:szCs w:val="26"/>
        </w:rPr>
        <w:t xml:space="preserve">Особо вредное воздействие оказывает засуха, сопровождаемая сухо</w:t>
      </w:r>
      <w:r>
        <w:rPr>
          <w:sz w:val="26"/>
          <w:szCs w:val="26"/>
        </w:rPr>
        <w:t xml:space="preserve">веями, которые бывают вне зависимости от засух ежегодно в тот или иной период вегетации растений. Большую часть года (сентябрь - май) в сельсовете преобладают юго-западные ветры. Средние скорости ветра очень значительны. Весной и в начале лета наряду с юго</w:t>
      </w:r>
      <w:r>
        <w:rPr>
          <w:sz w:val="26"/>
          <w:szCs w:val="26"/>
        </w:rPr>
        <w:t xml:space="preserve">-западными частями становятся сильные юные и юго-восточные суховейные ветры. В летний период возможны ветры любых направлений при некотором преобладании северных. Скорости ветра летом наименьшие в году, хотя в летнее время отмечены случаи штормовых ветров.</w:t>
      </w:r>
      <w:r/>
    </w:p>
    <w:p>
      <w:pPr>
        <w:ind w:firstLine="720"/>
        <w:spacing w:after="0" w:line="240" w:lineRule="auto"/>
        <w:rPr>
          <w:highlight w:val="darkMagenta"/>
        </w:rPr>
      </w:pPr>
      <w:r>
        <w:rPr>
          <w:sz w:val="26"/>
          <w:szCs w:val="26"/>
        </w:rPr>
        <w:t xml:space="preserve">Данная территория имеет очень небольшой сток в результате двух причин: плоскоравнинного рельефа и выпадения основного количества осадков в летнее время, когда сильное испарение.</w:t>
      </w:r>
      <w:r>
        <w:rPr>
          <w:highlight w:val="darkMagenta"/>
        </w:rPr>
      </w:r>
      <w:r>
        <w:rPr>
          <w:highlight w:val="darkMagenta"/>
        </w:rPr>
      </w:r>
    </w:p>
    <w:p>
      <w:pPr>
        <w:pStyle w:val="1018"/>
        <w:rPr>
          <w:sz w:val="26"/>
          <w:szCs w:val="26"/>
        </w:rPr>
      </w:pPr>
      <w:r>
        <w:rPr>
          <w:sz w:val="26"/>
          <w:szCs w:val="26"/>
        </w:rPr>
        <w:t xml:space="preserve">Район</w:t>
      </w:r>
      <w:r>
        <w:rPr>
          <w:sz w:val="26"/>
          <w:szCs w:val="26"/>
        </w:rPr>
        <w:t xml:space="preserve"> не богат полезными ископаемыми. На его территории расположены месторождения суглинков кирпичных, торфа. В целях освоения месторождений суглинков кирпичных необходимо решение вопроса о включении района в программу газификации. Имеются запасы подземных вод.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</w:pPr>
      <w:r>
        <w:rPr>
          <w:sz w:val="26"/>
          <w:szCs w:val="26"/>
        </w:rPr>
        <w:t xml:space="preserve">Полезные ископаемые: запасы кирпичных глин (разведанный запас более 680 тыс. куб. м), торфа, сапропеля. Развитая гидрографическая сеть: большое количество озер (более 140), часть из которых при</w:t>
      </w:r>
      <w:r>
        <w:rPr>
          <w:sz w:val="26"/>
          <w:szCs w:val="26"/>
        </w:rPr>
        <w:t xml:space="preserve">годна для разведения рыбы промысловых пород (карась, окунь, щука, карп, сазан). Наличие термальных, лечебно-столовых вод. Свободные земельные ресурсы для развития сельскохозяйственного производства. Индустриальные площадки по типу «браунфилд» и «гринфилд».</w:t>
      </w:r>
      <w:r>
        <w:rPr>
          <w:rFonts w:eastAsia="Liberation Sans"/>
          <w:color w:val="000000" w:themeColor="text1"/>
          <w:sz w:val="26"/>
          <w:szCs w:val="26"/>
        </w:rPr>
        <w:br/>
      </w:r>
      <w:r>
        <w:rPr>
          <w:rFonts w:eastAsia="Liberation Sans"/>
          <w:color w:val="000000" w:themeColor="text1"/>
          <w:sz w:val="26"/>
          <w:szCs w:val="26"/>
        </w:rPr>
        <w:tab/>
      </w:r>
      <w:r>
        <w:rPr>
          <w:rFonts w:eastAsia="Liberation Sans"/>
          <w:color w:val="000000" w:themeColor="text1"/>
          <w:sz w:val="26"/>
          <w:szCs w:val="26"/>
        </w:rPr>
        <w:tab/>
      </w:r>
      <w:r>
        <w:rPr>
          <w:rFonts w:eastAsia="Liberation Sans"/>
          <w:color w:val="000000" w:themeColor="text1"/>
          <w:sz w:val="26"/>
          <w:szCs w:val="26"/>
        </w:rPr>
        <w:tab/>
        <w:t xml:space="preserve">Самая большая река, протекающая по району - р.Омь. Общая длина </w:t>
      </w:r>
      <w:r>
        <w:rPr>
          <w:rFonts w:eastAsia="Liberation Sans"/>
          <w:color w:val="000000" w:themeColor="text1"/>
          <w:sz w:val="26"/>
          <w:szCs w:val="26"/>
        </w:rPr>
        <w:t xml:space="preserve">реки - 1112 км, из которых 112 км - по территории Усть-Таркского района с двумя притоками: Тарка - 36 км и Еланка 34 км. Имеется около 140 озер. Водоснабжение в районе базируется на артезианских водоразборных скважинах глубиной до 1200 метров. Всего более </w:t>
      </w:r>
      <w:r>
        <w:rPr>
          <w:rFonts w:eastAsia="Liberation Sans"/>
          <w:color w:val="000000" w:themeColor="text1"/>
          <w:sz w:val="26"/>
          <w:szCs w:val="26"/>
        </w:rPr>
        <w:t xml:space="preserve">100</w:t>
      </w:r>
      <w:r>
        <w:rPr>
          <w:rFonts w:eastAsia="Liberation Sans"/>
          <w:color w:val="000000" w:themeColor="text1"/>
          <w:sz w:val="26"/>
          <w:szCs w:val="26"/>
        </w:rPr>
        <w:t xml:space="preserve"> скважин, из них </w:t>
      </w:r>
      <w:r>
        <w:rPr>
          <w:rFonts w:eastAsia="Liberation Sans"/>
          <w:color w:val="000000" w:themeColor="text1"/>
          <w:sz w:val="26"/>
          <w:szCs w:val="26"/>
        </w:rPr>
        <w:t xml:space="preserve">6</w:t>
      </w:r>
      <w:r>
        <w:rPr>
          <w:rFonts w:eastAsia="Liberation Sans"/>
          <w:color w:val="000000" w:themeColor="text1"/>
          <w:sz w:val="26"/>
          <w:szCs w:val="26"/>
        </w:rPr>
        <w:t xml:space="preserve"> глубоководные. </w:t>
      </w:r>
      <w:r>
        <w:rPr>
          <w:rFonts w:eastAsia="Liberation Sans"/>
          <w:color w:val="000000" w:themeColor="text1"/>
          <w:sz w:val="26"/>
          <w:szCs w:val="26"/>
        </w:rPr>
        <w:br/>
      </w:r>
      <w:r>
        <w:rPr>
          <w:rFonts w:eastAsia="Liberation Sans"/>
          <w:color w:val="000000" w:themeColor="text1"/>
          <w:sz w:val="26"/>
          <w:szCs w:val="26"/>
        </w:rPr>
        <w:tab/>
      </w:r>
      <w:r>
        <w:rPr>
          <w:rFonts w:eastAsia="Liberation Sans"/>
          <w:color w:val="000000" w:themeColor="text1"/>
          <w:sz w:val="26"/>
          <w:szCs w:val="26"/>
        </w:rPr>
        <w:tab/>
      </w:r>
      <w:r>
        <w:rPr>
          <w:rFonts w:eastAsia="Liberation Sans"/>
          <w:color w:val="000000" w:themeColor="text1"/>
          <w:sz w:val="26"/>
          <w:szCs w:val="26"/>
        </w:rPr>
        <w:tab/>
        <w:t xml:space="preserve">Для почвенного покрова характерны болотные, лугово-черноземные, луговые почвы, а также солончаки и лугово-солончаковые почвы. Район расположен в зоне </w:t>
      </w:r>
      <w:r>
        <w:rPr>
          <w:rFonts w:eastAsia="Liberation Sans"/>
          <w:color w:val="000000" w:themeColor="text1"/>
          <w:sz w:val="26"/>
          <w:szCs w:val="26"/>
        </w:rPr>
        <w:t xml:space="preserve">лесостепи. Здесь большие охотничьи угодья. Подз</w:t>
      </w:r>
      <w:r>
        <w:rPr>
          <w:rFonts w:eastAsia="Liberation Sans"/>
          <w:color w:val="000000" w:themeColor="text1"/>
          <w:sz w:val="26"/>
          <w:szCs w:val="26"/>
        </w:rPr>
        <w:t xml:space="preserve">емные воды минерализованы мало. Болота занимают 105.5 тыс.га, т.е. 25% территории. Наиболее заболочены северная и центральная часть района. По площади занятой лесом - 27,8 тыс.га район занимает в Барабе последнее место. Лесом покрыто всего 6.8% территории.</w:t>
      </w:r>
      <w:r/>
    </w:p>
    <w:p>
      <w:pPr>
        <w:contextualSpacing/>
        <w:ind w:firstLine="709"/>
        <w:spacing w:after="0" w:line="240" w:lineRule="auto"/>
        <w:widowControl w:val="off"/>
        <w:rPr>
          <w:sz w:val="26"/>
          <w:szCs w:val="26"/>
          <w:highlight w:val="darkMagenta"/>
        </w:rPr>
      </w:pPr>
      <w:r>
        <w:rPr>
          <w:sz w:val="26"/>
          <w:szCs w:val="26"/>
          <w:highlight w:val="darkMagenta"/>
        </w:rPr>
      </w:r>
      <w:r>
        <w:rPr>
          <w:sz w:val="26"/>
          <w:szCs w:val="26"/>
          <w:highlight w:val="darkMagenta"/>
        </w:rPr>
      </w:r>
      <w:r>
        <w:rPr>
          <w:sz w:val="26"/>
          <w:szCs w:val="26"/>
          <w:highlight w:val="darkMagenta"/>
        </w:rPr>
      </w:r>
    </w:p>
    <w:p>
      <w:pPr>
        <w:pStyle w:val="954"/>
        <w:contextualSpacing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/>
      <w:bookmarkStart w:id="6" w:name="_Toc118276399"/>
      <w:r>
        <w:rPr>
          <w:b/>
          <w:sz w:val="26"/>
          <w:szCs w:val="26"/>
        </w:rPr>
        <w:t xml:space="preserve">3.2 Анализ землепользования</w:t>
      </w:r>
      <w:bookmarkEnd w:id="6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границы поселения входят земли различных категорий в соответствии со сведениями ЕГРН и государственного лесного реестра. На основании данных приведенных в действующем генеральном плане, общая площадь земель сельсовета составляет </w:t>
      </w:r>
      <w:r>
        <w:rPr>
          <w:rFonts w:eastAsia="Calibri"/>
          <w:color w:val="000000" w:themeColor="text1"/>
          <w:sz w:val="26"/>
          <w:szCs w:val="26"/>
          <w:highlight w:val="white"/>
        </w:rPr>
        <w:t xml:space="preserve">19917,8га</w:t>
      </w:r>
      <w:r>
        <w:rPr>
          <w:sz w:val="26"/>
          <w:szCs w:val="26"/>
        </w:rPr>
        <w:t xml:space="preserve">..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2"/>
        <w:ind w:left="0" w:firstLine="709"/>
        <w:spacing w:after="0" w:line="240" w:lineRule="auto"/>
        <w:widowControl w:val="off"/>
        <w:tabs>
          <w:tab w:val="left" w:pos="993" w:leader="none"/>
          <w:tab w:val="left" w:pos="115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таблице 2 представлен баланс земель в границах муниципального образования по категориям земель на 01.01.2023 год.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2340" w:hanging="2160"/>
      </w:pPr>
      <w:r>
        <w:rPr>
          <w:sz w:val="24"/>
          <w:szCs w:val="24"/>
        </w:rPr>
        <w:t xml:space="preserve">Таблица 2.– Баланс территории Усть-Таркского сельсовета (в границах проектирования)</w:t>
      </w:r>
      <w:r/>
    </w:p>
    <w:p>
      <w:pPr>
        <w:pStyle w:val="938"/>
        <w:contextualSpacing/>
        <w:ind w:firstLine="709"/>
        <w:spacing w:after="0" w:line="240" w:lineRule="auto"/>
        <w:rPr>
          <w:spacing w:val="-60"/>
          <w:sz w:val="26"/>
          <w:szCs w:val="26"/>
          <w:u w:val="single"/>
        </w:rPr>
      </w:pPr>
      <w:r>
        <w:rPr>
          <w:spacing w:val="-60"/>
          <w:sz w:val="26"/>
          <w:szCs w:val="26"/>
          <w:u w:val="single"/>
        </w:rPr>
        <w:t xml:space="preserve"> </w:t>
      </w:r>
      <w:r>
        <w:rPr>
          <w:spacing w:val="-60"/>
          <w:sz w:val="26"/>
          <w:szCs w:val="26"/>
          <w:u w:val="single"/>
        </w:rPr>
      </w:r>
      <w:r>
        <w:rPr>
          <w:spacing w:val="-60"/>
          <w:sz w:val="26"/>
          <w:szCs w:val="26"/>
          <w:u w:val="single"/>
        </w:rPr>
      </w:r>
    </w:p>
    <w:tbl>
      <w:tblPr>
        <w:tblStyle w:val="952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403"/>
        <w:gridCol w:w="821"/>
        <w:gridCol w:w="821"/>
        <w:gridCol w:w="711"/>
        <w:gridCol w:w="894"/>
        <w:gridCol w:w="1270"/>
        <w:gridCol w:w="1276"/>
      </w:tblGrid>
      <w:tr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№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Наименование территории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42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с. Усть-Тарка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05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д. Богословка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Усть-Таркский сс</w:t>
            </w:r>
            <w:r/>
          </w:p>
        </w:tc>
      </w:tr>
      <w:tr>
        <w:trPr>
          <w:trHeight w:val="2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S, га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% (от нп)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S, га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% (от нп)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S, га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% (от сс)</w:t>
            </w:r>
            <w:r/>
          </w:p>
        </w:tc>
      </w:tr>
      <w:tr>
        <w:trPr>
          <w:trHeight w:val="2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8</w:t>
            </w:r>
            <w:r/>
          </w:p>
        </w:tc>
      </w:tr>
      <w:tr>
        <w:trPr>
          <w:trHeight w:val="2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b/>
                <w:color w:val="000000"/>
                <w:sz w:val="22"/>
              </w:rPr>
              <w:t xml:space="preserve"> </w:t>
            </w:r>
            <w:r/>
          </w:p>
          <w:p>
            <w:pPr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b/>
                <w:color w:val="000000"/>
                <w:sz w:val="22"/>
              </w:rPr>
              <w:t xml:space="preserve">1</w:t>
            </w:r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95" w:type="dxa"/>
            <w:vAlign w:val="center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b/>
                <w:color w:val="000000"/>
                <w:sz w:val="22"/>
              </w:rPr>
              <w:t xml:space="preserve">Жилые зоны</w:t>
            </w:r>
            <w:r/>
          </w:p>
        </w:tc>
      </w:tr>
      <w:tr>
        <w:trPr>
          <w:trHeight w:val="257"/>
        </w:trPr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1.1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color w:val="000000"/>
                <w:sz w:val="22"/>
                <w:highlight w:val="none"/>
              </w:rPr>
              <w:t xml:space="preserve">Зона </w:t>
            </w:r>
            <w:r>
              <w:rPr>
                <w:rFonts w:eastAsia="Calibri"/>
                <w:color w:val="000000"/>
                <w:sz w:val="22"/>
                <w:highlight w:val="none"/>
              </w:rPr>
              <w:t xml:space="preserve">жилой застройки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311,08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50,92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43,55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73,11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1,89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0,01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2.</w:t>
            </w:r>
            <w:r/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95" w:type="dxa"/>
            <w:textDirection w:val="lrTb"/>
            <w:noWrap w:val="false"/>
          </w:tcPr>
          <w:p>
            <w:pPr>
              <w:spacing w:after="0"/>
              <w:rPr>
                <w:b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color w:val="000000"/>
                <w:sz w:val="22"/>
                <w:highlight w:val="none"/>
              </w:rPr>
              <w:t xml:space="preserve">Зоны рекреационных территорий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rPr>
          <w:trHeight w:val="24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2.1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Зона рекреационного назначения и природного ландшафта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88,66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14,51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jc w:val="center"/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-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jc w:val="center"/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-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-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2.2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  <w:color w:val="000000"/>
                <w:sz w:val="22"/>
                <w:highlight w:val="none"/>
              </w:rPr>
              <w:t xml:space="preserve">Зона спорта и отдыха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12,65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2,07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0,72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  <w:highlight w:val="none"/>
              </w:rPr>
              <w:t xml:space="preserve">1,21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color w:val="000000"/>
                <w:sz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color w:val="000000"/>
                <w:sz w:val="22"/>
                <w:highlight w:val="none"/>
              </w:rPr>
              <w:t xml:space="preserve">17,66</w:t>
            </w:r>
            <w:r>
              <w:rPr>
                <w:rFonts w:eastAsia="Calibri"/>
                <w:color w:val="000000"/>
                <w:sz w:val="22"/>
                <w:highlight w:val="none"/>
              </w:rPr>
            </w:r>
            <w:r>
              <w:rPr>
                <w:rFonts w:eastAsia="Calibri"/>
                <w:color w:val="000000"/>
                <w:sz w:val="22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0,09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2.3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Земли лесного фонда и лесничеств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2792,02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14,02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3. </w:t>
            </w:r>
            <w:r/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95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  <w:color w:val="000000"/>
                <w:sz w:val="22"/>
              </w:rPr>
              <w:t xml:space="preserve">Производственные зоны, зоны инженерной и транспортной инфраструктур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3.1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Зона инженерной инфраструктуры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23,11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3,78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6,73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0,03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3.2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Зона территорий общего пользования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50,91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8,33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3,44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5,77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3.3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Зона промышленной и производственной территории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49,91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8,17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5,05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8,48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3.4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Зона воздушного транспорта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0,49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0,08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3.5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Зона транспортной инфраструктуры вне границ населенного пункта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226,89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1,14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4.</w:t>
            </w:r>
            <w:r/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95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  <w:color w:val="000000"/>
                <w:sz w:val="22"/>
              </w:rPr>
              <w:t xml:space="preserve">Зоны сельскохозяйственного использования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4.1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Зона сельскохозяйственного назначения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34,21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5,6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3,98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6,68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4.2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Земельные участки сельскохозяйственного назначения вне границ населенного пункта, сведения о которых содержатся в ЕГРН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8876,32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44,56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5.</w:t>
            </w:r>
            <w:r/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95" w:type="dxa"/>
            <w:textDirection w:val="lrTb"/>
            <w:noWrap w:val="false"/>
          </w:tcPr>
          <w:p>
            <w:pPr>
              <w:spacing w:after="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  <w:color w:val="000000"/>
                <w:sz w:val="22"/>
              </w:rPr>
              <w:t xml:space="preserve">Общественно-деловые зоны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5.1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Зона размещения объектов общественного, социального и коммунально-бытового назначения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18,44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3,02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2,38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5.2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Зона размещения объектов делового и коммерческого назначения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16,57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2,71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0,52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6.</w:t>
            </w:r>
            <w:r/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95" w:type="dxa"/>
            <w:textDirection w:val="lrTb"/>
            <w:noWrap w:val="false"/>
          </w:tcPr>
          <w:p>
            <w:pPr>
              <w:spacing w:after="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  <w:color w:val="000000"/>
                <w:sz w:val="22"/>
              </w:rPr>
              <w:t xml:space="preserve">Зоны специального назначения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6.1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Зона кладбищ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4,90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10,37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0,05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8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6.2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3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Зона складирования и захоронения объектов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1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10,68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4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0,05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0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2"/>
              </w:rPr>
              <w:t xml:space="preserve">-</w:t>
            </w:r>
            <w:r/>
          </w:p>
        </w:tc>
      </w:tr>
    </w:tbl>
    <w:p>
      <w:pPr>
        <w:pStyle w:val="938"/>
        <w:contextualSpacing/>
        <w:ind w:firstLine="709"/>
        <w:spacing w:after="0" w:line="240" w:lineRule="auto"/>
        <w:rPr>
          <w:spacing w:val="-60"/>
          <w:sz w:val="26"/>
          <w:szCs w:val="26"/>
          <w:u w:val="single"/>
        </w:rPr>
      </w:pPr>
      <w:r>
        <w:rPr>
          <w:spacing w:val="-60"/>
          <w:sz w:val="26"/>
          <w:szCs w:val="26"/>
          <w:u w:val="single"/>
        </w:rPr>
      </w:r>
      <w:r>
        <w:rPr>
          <w:spacing w:val="-60"/>
          <w:sz w:val="26"/>
          <w:szCs w:val="26"/>
          <w:u w:val="single"/>
        </w:rPr>
      </w:r>
      <w:r>
        <w:rPr>
          <w:spacing w:val="-60"/>
          <w:sz w:val="26"/>
          <w:szCs w:val="26"/>
          <w:u w:val="single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/>
      <w:bookmarkStart w:id="7" w:name="_Toc118276400"/>
      <w:r>
        <w:rPr>
          <w:b/>
          <w:sz w:val="26"/>
          <w:szCs w:val="26"/>
        </w:rPr>
        <w:t xml:space="preserve">3.3 Современное состояние и планировочная структура населенных пунктов</w:t>
      </w:r>
      <w:bookmarkEnd w:id="7"/>
      <w: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r/>
      <w:r/>
    </w:p>
    <w:p>
      <w:pPr>
        <w:ind w:firstLine="709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Анализ территориальных ресурсов сельсовета и оценка возможностей перспективного градостроительного развития Усть-Таркского сельсовета выполнены с учетом оценки системы планировочных ограничений, основанных на требованиях действующих нормативных документов.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240" w:lineRule="auto"/>
      </w:pPr>
      <w:r>
        <w:rPr>
          <w:sz w:val="26"/>
          <w:szCs w:val="26"/>
        </w:rPr>
        <w:t xml:space="preserve">Согласно положениям Градостроительного кодекса Российской Федерации, к зонам с особыми условиями использования территорий (планировочных ограничений) на территории сельсовета отнесены:</w:t>
      </w:r>
      <w:r/>
    </w:p>
    <w:p>
      <w:pPr>
        <w:numPr>
          <w:ilvl w:val="1"/>
          <w:numId w:val="35"/>
        </w:numPr>
        <w:ind w:left="1080"/>
        <w:spacing w:after="0" w:line="240" w:lineRule="auto"/>
        <w:tabs>
          <w:tab w:val="left" w:pos="1080" w:leader="none"/>
        </w:tabs>
      </w:pPr>
      <w:r>
        <w:rPr>
          <w:sz w:val="26"/>
          <w:szCs w:val="26"/>
        </w:rPr>
        <w:t xml:space="preserve">охранные зоны коммуникаций (электрических сетей, линий сооружений и связи, водопровода);</w:t>
      </w:r>
      <w:r/>
    </w:p>
    <w:p>
      <w:pPr>
        <w:numPr>
          <w:ilvl w:val="1"/>
          <w:numId w:val="35"/>
        </w:numPr>
        <w:ind w:left="1080"/>
        <w:spacing w:after="0" w:line="240" w:lineRule="auto"/>
        <w:tabs>
          <w:tab w:val="left" w:pos="1080" w:leader="none"/>
        </w:tabs>
      </w:pPr>
      <w:r>
        <w:rPr>
          <w:sz w:val="26"/>
          <w:szCs w:val="26"/>
        </w:rPr>
        <w:t xml:space="preserve">водоохранные зоны и прибрежные защитные полосы;</w:t>
      </w:r>
      <w:r/>
    </w:p>
    <w:p>
      <w:pPr>
        <w:numPr>
          <w:ilvl w:val="1"/>
          <w:numId w:val="35"/>
        </w:numPr>
        <w:ind w:left="1080"/>
        <w:spacing w:after="0" w:line="240" w:lineRule="auto"/>
        <w:tabs>
          <w:tab w:val="left" w:pos="1080" w:leader="none"/>
        </w:tabs>
      </w:pPr>
      <w:r>
        <w:rPr>
          <w:sz w:val="26"/>
          <w:szCs w:val="26"/>
        </w:rPr>
        <w:t xml:space="preserve">санитарно-защитные зоны объектов сельскохозяйственного производства, промышленных и коммунально-складских объектов;</w:t>
      </w:r>
      <w:r/>
    </w:p>
    <w:p>
      <w:pPr>
        <w:numPr>
          <w:ilvl w:val="1"/>
          <w:numId w:val="35"/>
        </w:numPr>
        <w:ind w:left="1080"/>
        <w:spacing w:after="0" w:line="240" w:lineRule="auto"/>
        <w:tabs>
          <w:tab w:val="left" w:pos="1080" w:leader="none"/>
        </w:tabs>
      </w:pPr>
      <w:r>
        <w:rPr>
          <w:sz w:val="26"/>
          <w:szCs w:val="26"/>
        </w:rPr>
        <w:t xml:space="preserve">санитарно-защитные зоны от инженерно-технических и санитарно-технических объектов (объектов специального назначения);</w:t>
      </w:r>
      <w:r/>
    </w:p>
    <w:p>
      <w:pPr>
        <w:numPr>
          <w:ilvl w:val="1"/>
          <w:numId w:val="35"/>
        </w:numPr>
        <w:ind w:left="1080"/>
        <w:spacing w:after="0" w:line="240" w:lineRule="auto"/>
        <w:tabs>
          <w:tab w:val="left" w:pos="1080" w:leader="none"/>
        </w:tabs>
      </w:pPr>
      <w:r>
        <w:rPr>
          <w:sz w:val="26"/>
          <w:szCs w:val="26"/>
        </w:rPr>
        <w:t xml:space="preserve">санитарно-защитные зоны от объектов транспортной инфраструктуры;</w:t>
      </w:r>
      <w:r/>
    </w:p>
    <w:p>
      <w:pPr>
        <w:numPr>
          <w:ilvl w:val="1"/>
          <w:numId w:val="35"/>
        </w:numPr>
        <w:ind w:left="1080"/>
        <w:spacing w:after="0" w:line="240" w:lineRule="auto"/>
        <w:tabs>
          <w:tab w:val="left" w:pos="1080" w:leader="none"/>
        </w:tabs>
      </w:pPr>
      <w:r>
        <w:rPr>
          <w:sz w:val="26"/>
          <w:szCs w:val="26"/>
        </w:rPr>
        <w:t xml:space="preserve">территории природно-рекреационного назначения.</w:t>
      </w:r>
      <w:r/>
    </w:p>
    <w:p>
      <w:pPr>
        <w:contextualSpacing/>
        <w:ind w:firstLine="709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В Усть-Таркском сельсовете  располагаются следующие </w:t>
      </w:r>
      <w:r>
        <w:rPr>
          <w:rFonts w:eastAsia="Calibri"/>
          <w:color w:val="000000"/>
          <w:sz w:val="24"/>
          <w:szCs w:val="24"/>
          <w:highlight w:val="white"/>
        </w:rPr>
        <w:t xml:space="preserve">объекты обслуживания</w:t>
      </w:r>
      <w:r>
        <w:rPr>
          <w:sz w:val="26"/>
          <w:szCs w:val="26"/>
        </w:rPr>
        <w:t xml:space="preserve">, обеспечивающие население услугами различного назначения: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Детская библиотека.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Центральная районная больница.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Учреждения социальной защиты населения.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Дом культуры.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Учреждения дополнительного образования: школа искусств, спортивный комплекс.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Магазины продовольственных и промышленных товаров.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Столовые и кафе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2"/>
        <w:numPr>
          <w:ilvl w:val="0"/>
          <w:numId w:val="19"/>
        </w:numPr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Отделения  банков, учреждение связи, аптеки и др.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Административно-деловые объекты,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Гостиница;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Почта;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9"/>
        </w:numPr>
        <w:contextualSpacing/>
        <w:ind w:left="1134" w:hanging="425"/>
        <w:spacing w:after="0"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Детские сады.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территории поселения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 xml:space="preserve">одна средняя</w:t>
      </w:r>
      <w:r>
        <w:rPr>
          <w:sz w:val="26"/>
          <w:szCs w:val="26"/>
        </w:rPr>
        <w:t xml:space="preserve"> общеобразовательная школа и одна основная общеобразовательная школа. За последние годы число школ не изменилась.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поселении работает сеть учреждений дополнительного образования, объединяющая в единый процесс восп</w:t>
      </w:r>
      <w:r>
        <w:rPr>
          <w:sz w:val="26"/>
          <w:szCs w:val="26"/>
        </w:rPr>
        <w:t xml:space="preserve">итание, обучение и развитие личности ребенка. Количество учреждений дополнительного образования на территории сельсовета три - музыкальная школа, школа искусств и спортивная школа, в 2020 году их посещало 1198 детей в возрасте от шести до восемнадцати лет.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Участок для проектирования застройки</w:t>
      </w:r>
      <w:r>
        <w:rPr>
          <w:sz w:val="26"/>
          <w:szCs w:val="26"/>
        </w:rPr>
        <w:t xml:space="preserve"> расположен в серверо-западной части с. Усть-Тарка по ул. Московская. Большая часть территории свободна от застройки, покрыта луговой растительностью. Существующая застройка по ул. Садовая представлена двухквартирными жилыми домами с придомовыми участками.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настоящее время вдоль восточной границы территории ведётся выделение земельных участков под индивидуальное жилищное строительство. Нарушенный рельеф ограничивает прямой проезд к новой застройке.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Планировочная структура жилищного фонда Усть-Таркского сельсовета характеризуется следующими данными: общая площадь жилищного фонда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 xml:space="preserve">– 95,65 тыс</w:t>
      </w:r>
      <w:r>
        <w:rPr>
          <w:sz w:val="26"/>
          <w:szCs w:val="26"/>
          <w:highlight w:val="white"/>
        </w:rPr>
        <w:t xml:space="preserve">. </w:t>
      </w:r>
      <w:r>
        <w:rPr>
          <w:sz w:val="26"/>
          <w:szCs w:val="26"/>
        </w:rPr>
        <w:t xml:space="preserve">м2, обеспеченность жильем – 21,34 м2 общей площади на одного жителя.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Жители Усть-Таркского сельсовета активно участвуют в различных подпрограммах по обеспечению жильем. Средства поступают из федерального и областного бюджета и выделяются </w:t>
      </w:r>
      <w:r>
        <w:rPr>
          <w:sz w:val="26"/>
          <w:szCs w:val="26"/>
        </w:rPr>
        <w:t xml:space="preserve">гражданам на строительство и приобретения жилья до 70% от стоимости построенного приобретенного жилья  в виде безвозмездных субсидий. На данный момент ведется строительство жилья в рамках софинансирования муниципального, областного и федерального бюджетов.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Общая площадь проектируемой территории составляет 39,83 га.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ind w:firstLine="709"/>
        <w:spacing w:after="0" w:line="240" w:lineRule="auto"/>
        <w:rPr>
          <w:szCs w:val="28"/>
        </w:rPr>
      </w:pPr>
      <w:r>
        <w:rPr>
          <w:sz w:val="26"/>
          <w:szCs w:val="26"/>
        </w:rPr>
        <w:t xml:space="preserve">Одним из основных инструментов регулирования градостроительной деятельности является функциональное зонирование территории.</w:t>
      </w:r>
      <w:r>
        <w:rPr>
          <w:szCs w:val="28"/>
        </w:rPr>
      </w:r>
      <w:r>
        <w:rPr>
          <w:szCs w:val="28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настоящее время в Усть-Тарском сельсовете выделены следующие функциональные зоны: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16"/>
        </w:numPr>
        <w:contextualSpacing/>
        <w:ind w:left="1417" w:hanging="348"/>
        <w:spacing w:after="0" w:line="240" w:lineRule="auto"/>
        <w:tabs>
          <w:tab w:val="left" w:pos="993" w:leader="none"/>
        </w:tabs>
        <w:rPr>
          <w:rFonts w:eastAsia="Arial"/>
          <w:color w:val="000000"/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 xml:space="preserve">Зона жилой застройки;</w:t>
      </w:r>
      <w:r>
        <w:rPr>
          <w:rFonts w:eastAsia="Arial"/>
          <w:color w:val="000000"/>
          <w:sz w:val="26"/>
          <w:szCs w:val="26"/>
        </w:rPr>
      </w:r>
      <w:r>
        <w:rPr>
          <w:rFonts w:eastAsia="Arial"/>
          <w:color w:val="000000"/>
          <w:sz w:val="26"/>
          <w:szCs w:val="26"/>
        </w:rPr>
      </w:r>
    </w:p>
    <w:p>
      <w:pPr>
        <w:pStyle w:val="938"/>
        <w:numPr>
          <w:ilvl w:val="0"/>
          <w:numId w:val="16"/>
        </w:numPr>
        <w:contextualSpacing/>
        <w:ind w:left="1417" w:hanging="348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 xml:space="preserve">Зона жилой застройки вне границ населенного пункта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16"/>
        </w:numPr>
        <w:contextualSpacing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 xml:space="preserve">Зона размещения объектов общественного, социального и коммунально-бытового назначения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16"/>
        </w:numPr>
        <w:contextualSpacing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 xml:space="preserve">Зона размещения объектов делового и коммерческого назначения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2"/>
        <w:numPr>
          <w:ilvl w:val="0"/>
          <w:numId w:val="16"/>
        </w:numPr>
        <w:spacing w:after="0" w:line="240" w:lineRule="auto"/>
        <w:widowControl w:val="off"/>
        <w:tabs>
          <w:tab w:val="left" w:pos="993" w:leader="none"/>
        </w:tabs>
        <w:rPr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 xml:space="preserve">Зона сельскохозяйственного назначения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2"/>
        <w:numPr>
          <w:ilvl w:val="0"/>
          <w:numId w:val="16"/>
        </w:numPr>
        <w:spacing w:after="0" w:line="240" w:lineRule="auto"/>
        <w:widowControl w:val="off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 xml:space="preserve">Территориальная зона «Земельные участки сельскохозяйственного назначения вне границы населенного пункта, сведения о которых содержаться в ЕГРН;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2"/>
        <w:numPr>
          <w:ilvl w:val="0"/>
          <w:numId w:val="16"/>
        </w:numPr>
        <w:spacing w:after="0" w:line="240" w:lineRule="auto"/>
        <w:widowControl w:val="off"/>
        <w:tabs>
          <w:tab w:val="left" w:pos="993" w:leader="none"/>
        </w:tabs>
        <w:rPr>
          <w:rFonts w:eastAsia="Calibri"/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 xml:space="preserve">Зона промышленной и производственной территории</w:t>
      </w:r>
      <w:r>
        <w:rPr>
          <w:rFonts w:eastAsia="Calibri"/>
          <w:sz w:val="26"/>
          <w:szCs w:val="26"/>
        </w:rPr>
        <w:t xml:space="preserve">, инженерной инфраструктуры, территорий общего пользования;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32"/>
        <w:numPr>
          <w:ilvl w:val="0"/>
          <w:numId w:val="16"/>
        </w:numPr>
        <w:spacing w:after="0" w:line="240" w:lineRule="auto"/>
        <w:widowControl w:val="off"/>
        <w:tabs>
          <w:tab w:val="left" w:pos="993" w:leader="none"/>
        </w:tabs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 xml:space="preserve">Зона воздушного транспорта</w:t>
      </w:r>
      <w:r>
        <w:rPr>
          <w:rFonts w:eastAsia="Calibri"/>
          <w:sz w:val="26"/>
          <w:szCs w:val="26"/>
        </w:rPr>
        <w:t xml:space="preserve">;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32"/>
        <w:numPr>
          <w:ilvl w:val="0"/>
          <w:numId w:val="16"/>
        </w:numPr>
        <w:spacing w:after="0" w:line="240" w:lineRule="auto"/>
        <w:widowControl w:val="off"/>
        <w:tabs>
          <w:tab w:val="left" w:pos="993" w:leader="none"/>
        </w:tabs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 xml:space="preserve">Территориальная зона «Земельные участки транспортной инфраструктуры вне границ населенного пункта</w:t>
      </w:r>
      <w:r>
        <w:rPr>
          <w:rFonts w:eastAsia="Calibri"/>
          <w:sz w:val="26"/>
          <w:szCs w:val="26"/>
        </w:rPr>
        <w:t xml:space="preserve">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2"/>
        <w:numPr>
          <w:ilvl w:val="0"/>
          <w:numId w:val="16"/>
        </w:numPr>
        <w:spacing w:after="0" w:line="240" w:lineRule="auto"/>
        <w:widowControl w:val="off"/>
        <w:tabs>
          <w:tab w:val="left" w:pos="993" w:leader="none"/>
        </w:tabs>
        <w:rPr>
          <w:rFonts w:eastAsia="Arial"/>
          <w:color w:val="000000"/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 xml:space="preserve">Зона рекреационного назначения и природного ландшафта;</w:t>
      </w:r>
      <w:r>
        <w:rPr>
          <w:rFonts w:eastAsia="Arial"/>
          <w:color w:val="000000"/>
          <w:sz w:val="26"/>
          <w:szCs w:val="26"/>
        </w:rPr>
      </w:r>
      <w:r>
        <w:rPr>
          <w:rFonts w:eastAsia="Arial"/>
          <w:color w:val="000000"/>
          <w:sz w:val="26"/>
          <w:szCs w:val="26"/>
        </w:rPr>
      </w:r>
    </w:p>
    <w:p>
      <w:pPr>
        <w:pStyle w:val="932"/>
        <w:numPr>
          <w:ilvl w:val="0"/>
          <w:numId w:val="16"/>
        </w:numPr>
        <w:spacing w:after="0" w:line="240" w:lineRule="auto"/>
        <w:widowControl w:val="off"/>
        <w:tabs>
          <w:tab w:val="left" w:pos="993" w:leader="none"/>
        </w:tabs>
        <w:rPr>
          <w:rFonts w:eastAsia="Arial"/>
          <w:color w:val="000000"/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 xml:space="preserve">Зона спорта и отдыха;</w:t>
      </w:r>
      <w:r>
        <w:rPr>
          <w:rFonts w:eastAsia="Arial"/>
          <w:color w:val="000000"/>
          <w:sz w:val="26"/>
          <w:szCs w:val="26"/>
        </w:rPr>
      </w:r>
      <w:r>
        <w:rPr>
          <w:rFonts w:eastAsia="Arial"/>
          <w:color w:val="000000"/>
          <w:sz w:val="26"/>
          <w:szCs w:val="26"/>
        </w:rPr>
      </w:r>
    </w:p>
    <w:p>
      <w:pPr>
        <w:pStyle w:val="932"/>
        <w:numPr>
          <w:ilvl w:val="0"/>
          <w:numId w:val="16"/>
        </w:numPr>
        <w:spacing w:after="0" w:line="240" w:lineRule="auto"/>
        <w:widowControl w:val="off"/>
        <w:tabs>
          <w:tab w:val="left" w:pos="993" w:leader="none"/>
        </w:tabs>
        <w:rPr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 xml:space="preserve">Территориальная зона «Границы лесного фонда и лесничеств, сведения о которых содержаться в ЕГРН</w:t>
      </w:r>
      <w:r>
        <w:rPr>
          <w:rFonts w:eastAsia="Calibri"/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16"/>
        </w:numPr>
        <w:contextualSpacing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Зона кладбищ</w:t>
      </w:r>
      <w:r>
        <w:rPr>
          <w:sz w:val="26"/>
          <w:szCs w:val="26"/>
        </w:rPr>
        <w:t xml:space="preserve">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16"/>
        </w:numPr>
        <w:contextualSpacing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Зона складирования и захоронения отходов;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16"/>
        </w:numPr>
        <w:contextualSpacing/>
        <w:spacing w:after="0" w:line="240" w:lineRule="auto"/>
        <w:tabs>
          <w:tab w:val="left" w:pos="993" w:leader="none"/>
        </w:tabs>
        <w:rPr>
          <w:rFonts w:eastAsia="Calibri"/>
          <w:sz w:val="26"/>
          <w:szCs w:val="26"/>
        </w:rPr>
      </w:pPr>
      <w:r>
        <w:rPr>
          <w:color w:val="000000"/>
          <w:sz w:val="26"/>
          <w:szCs w:val="26"/>
        </w:rPr>
        <w:t xml:space="preserve">Земли, категории пользования которых не установлены</w:t>
      </w:r>
      <w:r>
        <w:rPr>
          <w:rFonts w:eastAsia="Calibri"/>
          <w:sz w:val="26"/>
          <w:szCs w:val="26"/>
        </w:rPr>
        <w:t xml:space="preserve">.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938"/>
        <w:contextualSpacing/>
        <w:ind w:left="142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4260" w:leader="none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/>
      <w:bookmarkStart w:id="8" w:name="_Toc118276401"/>
      <w:r>
        <w:rPr>
          <w:b/>
          <w:sz w:val="26"/>
          <w:szCs w:val="26"/>
        </w:rPr>
        <w:t xml:space="preserve">3.4 Формирование комфортной городской среды</w:t>
      </w:r>
      <w:bookmarkEnd w:id="8"/>
      <w: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064"/>
        <w:ind w:firstLine="708"/>
        <w:jc w:val="both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Природно-климатические условия Усть-Та</w:t>
      </w:r>
      <w:r>
        <w:rPr>
          <w:sz w:val="26"/>
          <w:szCs w:val="26"/>
        </w:rPr>
        <w:t xml:space="preserve">ркского сельсовета Усть-Таркского  района Новосибирской области, его географическое положение и рельеф создают относительно благоприятные предпосылки для проведения работ по благоустройству территорий, развитию инженерной инфраструктуры населенных пунктов.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1"/>
        <w:ind w:firstLine="54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Усть-Таркского сельсовета 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более 50% покрытий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тротуаров и внутридворовых проездов требуют ремонта или полной замены покрытий.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1"/>
        <w:ind w:firstLine="54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Одной из важнейших и социально значимых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задач является обеспечение освещения</w:t>
      </w:r>
      <w:r>
        <w:rPr>
          <w:rFonts w:ascii="Times New Roman" w:hAnsi="Times New Roman" w:cs="Times New Roman"/>
          <w:sz w:val="26"/>
          <w:szCs w:val="26"/>
        </w:rPr>
        <w:t xml:space="preserve"> территорий населенных пунктов Усть-Таркского сельсовета. Сети наружного освещения входят в комплекс систем жизнеобеспечения.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1"/>
        <w:ind w:firstLine="54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Зеленые насаждения - важнейший элемент внешнего благоустройства населенных пунктов. Роль зеленых уголков отдыха в организации комфортной, здоровой среды обитания ч</w:t>
      </w:r>
      <w:r>
        <w:rPr>
          <w:rFonts w:ascii="Times New Roman" w:hAnsi="Times New Roman" w:cs="Times New Roman"/>
          <w:sz w:val="26"/>
          <w:szCs w:val="26"/>
        </w:rPr>
        <w:t xml:space="preserve">еловека в населенных пунктах настолько велика, что ее трудно переоценить. Являясь важным элементом благоустройства, они выполняют и другую важную функцию - оздоровление окружающей среды, вносят размеренность и гармонизируют пространство населенных пунктов.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1"/>
        <w:ind w:firstLine="54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Необходимо планомерно восстанавливать облик парков</w:t>
      </w:r>
      <w:r>
        <w:rPr>
          <w:rFonts w:ascii="Times New Roman" w:hAnsi="Times New Roman" w:cs="Times New Roman"/>
          <w:sz w:val="26"/>
          <w:szCs w:val="26"/>
        </w:rPr>
        <w:t xml:space="preserve">ых зон, зон отдыха, обеспечить организацию современного озеленения. Обустройство новых уголков отдыха, установка игровых комплексов, повышение уровня озеленения способствует улучшению, как эстетического облика, так и функциональных возможностей зон отдыха.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1"/>
        <w:ind w:firstLine="54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Выявленные по итогам инвентаризации общественных и дворовых территории, подлежащих благоустройству.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64"/>
        <w:ind w:firstLine="567"/>
        <w:jc w:val="both"/>
        <w:spacing w:before="0" w:after="0"/>
        <w:rPr>
          <w:sz w:val="26"/>
          <w:szCs w:val="26"/>
          <w:highlight w:val="yellow"/>
          <w:lang w:eastAsia="ru-RU"/>
        </w:rPr>
      </w:pPr>
      <w:r>
        <w:rPr>
          <w:sz w:val="26"/>
          <w:szCs w:val="26"/>
        </w:rPr>
        <w:t xml:space="preserve">Большие нарекания вызывают благоустройство и санитарное содержание дворовых территорий. По-прежнему серьезную озабоченность вызывают состояние сбора, утилизации и захоронения бытовых и промышленных отходов, </w:t>
      </w:r>
      <w:r>
        <w:rPr>
          <w:sz w:val="26"/>
          <w:szCs w:val="26"/>
          <w:highlight w:val="white"/>
          <w:lang w:eastAsia="ru-RU"/>
        </w:rPr>
        <w:t xml:space="preserve">освещение улиц поселения.</w:t>
      </w:r>
      <w:r>
        <w:rPr>
          <w:sz w:val="26"/>
          <w:szCs w:val="26"/>
          <w:highlight w:val="yellow"/>
          <w:lang w:eastAsia="ru-RU"/>
        </w:rPr>
        <w:t xml:space="preserve">  </w:t>
      </w:r>
      <w:r>
        <w:rPr>
          <w:sz w:val="26"/>
          <w:szCs w:val="26"/>
          <w:highlight w:val="yellow"/>
          <w:lang w:eastAsia="ru-RU"/>
        </w:rPr>
      </w:r>
      <w:r>
        <w:rPr>
          <w:sz w:val="26"/>
          <w:szCs w:val="26"/>
          <w:highlight w:val="yellow"/>
          <w:lang w:eastAsia="ru-RU"/>
        </w:rPr>
      </w:r>
    </w:p>
    <w:p>
      <w:pPr>
        <w:pStyle w:val="1064"/>
        <w:ind w:firstLine="567"/>
        <w:jc w:val="both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Для решения данной проблемы требуется участие и взаимодействие органов м</w:t>
      </w:r>
      <w:r>
        <w:rPr>
          <w:sz w:val="26"/>
          <w:szCs w:val="26"/>
        </w:rPr>
        <w:t xml:space="preserve">естного самоуправления муниципального района с привлечением населения, предприятий и организаций, наличия финансирования с привлечением источников всех уровней, что обусловливает необходимость разработки и применения программы комплексного развития систем </w:t>
      </w:r>
      <w:r>
        <w:rPr>
          <w:sz w:val="26"/>
          <w:szCs w:val="26"/>
          <w:highlight w:val="white"/>
          <w:lang w:eastAsia="ru-RU"/>
        </w:rPr>
        <w:t xml:space="preserve">транспортной инфраструктуры</w:t>
      </w:r>
      <w:r>
        <w:rPr>
          <w:sz w:val="26"/>
          <w:szCs w:val="26"/>
        </w:rPr>
        <w:t xml:space="preserve"> Усть-Таркского сельсовета Усть-Таркского района Новосибирской области на 2022-2032 годы согласно Постановлению №97 от 24.12.2021г.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65"/>
        <w:ind w:firstLine="708"/>
        <w:jc w:val="both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65"/>
        <w:ind w:firstLine="708"/>
        <w:jc w:val="both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Для решения проблем по благоустройству населенных пунктов поселения необходимо</w:t>
      </w:r>
      <w:r>
        <w:rPr>
          <w:sz w:val="26"/>
          <w:szCs w:val="26"/>
        </w:rPr>
        <w:t xml:space="preserve">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Также в ходе реализации данной подпрограммы будут осуществляться мероприятия по благоустройству дворовых территорий многоквартирных домов, общественных пространств на территории Усть-Таркского сельсовета.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54"/>
        <w:contextualSpacing/>
        <w:spacing w:after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54"/>
        <w:contextualSpacing/>
        <w:spacing w:after="0"/>
      </w:pPr>
      <w:r/>
      <w:bookmarkStart w:id="9" w:name="_Toc118276402"/>
      <w:r>
        <w:rPr>
          <w:b/>
          <w:sz w:val="26"/>
          <w:szCs w:val="26"/>
        </w:rPr>
        <w:t xml:space="preserve">3.5 Экономическая база</w:t>
      </w:r>
      <w:bookmarkEnd w:id="9"/>
      <w:r>
        <w:t xml:space="preserve"> </w:t>
      </w:r>
      <w:r/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tabs>
          <w:tab w:val="left" w:pos="252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Градообразующая сфера представлена следующими видами экономической деятельности: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tabs>
          <w:tab w:val="left" w:pos="252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 сельское хозяйство;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tabs>
          <w:tab w:val="left" w:pos="252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 производство пищевых продуктов;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торговля и общественное питание;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иные виды экономической деятельности.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современном этапе основу специализации территории составляет сельскохозяйственное производство. В поселении ведут свою деятельность 4 крестьянских фермерских хозяйств: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 животноводство и выращивание зерновых - КФХ Чирикова Н.В.</w:t>
      </w:r>
      <w:r>
        <w:rPr>
          <w:sz w:val="26"/>
          <w:szCs w:val="26"/>
        </w:rPr>
        <w:t xml:space="preserve">, ООО «Богословское: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 выращивание зерновых культур - КФХ Майбах Е.В., КФХ Майбах В.В., ИП Золотухин А.А.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5"/>
        <w:ind w:left="0" w:firstLine="567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- хранение и складирование зерна ООО «Усть-Таркское ХПП».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20"/>
        <w:spacing w:line="240" w:lineRule="auto"/>
        <w:tabs>
          <w:tab w:val="left" w:pos="144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contextualSpacing/>
        <w:ind w:firstLine="720"/>
        <w:spacing w:line="240" w:lineRule="auto"/>
        <w:tabs>
          <w:tab w:val="left" w:pos="144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3.6 Население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38"/>
        <w:ind w:firstLine="567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Численность населения  с. Усть-Тарка на 01.01.2022 г. составила 4164 человека.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Таблица 3 – Демографические сведения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67"/>
        <w:gridCol w:w="3806"/>
        <w:gridCol w:w="1382"/>
        <w:gridCol w:w="4276"/>
      </w:tblGrid>
      <w:tr>
        <w:trPr>
          <w:trHeight w:val="20"/>
        </w:trPr>
        <w:tc>
          <w:tcPr>
            <w:shd w:val="clear" w:color="000000" w:fill="ffffff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п/п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3806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показателя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38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Ед. измерения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276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01.01.2022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постоянного населения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4164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постоянного </w:t>
            </w:r>
            <w:r>
              <w:rPr>
                <w:sz w:val="26"/>
                <w:szCs w:val="26"/>
              </w:rPr>
              <w:t xml:space="preserve">населения в возрасте моложе трудоспособного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905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постоянного населения в трудоспособном возрасте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2034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постоянного населения в возрасте старше трудоспособного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1037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постоянного населения – мужчины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1972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постоянного населения – женщины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занятых в экономике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%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178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безработных граждан, зарегистрированных в государственном учреждении службы занятости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242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Уровень зарегистрированной безработицы (к трудоспособному населению в трудоспособном возрасте)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Проц.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bottom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пенсионеров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1037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Число домохозяйств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Средний размер домохозяйств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806" w:type="dxa"/>
            <w:vAlign w:val="bottom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родившихся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bottom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умерших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Естественный прирост (+), убыль (-) населения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bottom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выбывших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bottom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прибывших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60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bottom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Миграционный прирост (+), убыль (-) населения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человек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06" w:type="dxa"/>
            <w:vAlign w:val="bottom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Число браков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0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06" w:type="dxa"/>
            <w:vAlign w:val="bottom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Число разводов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2" w:type="dxa"/>
            <w:vAlign w:val="center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6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38"/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Демографическая ситуация характеризуется как стабильная. 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Таблица 4 – Динамика среднегодовой численности постоянного населения на конец  2022 г.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037"/>
        <w:tblW w:w="9923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4533"/>
        <w:gridCol w:w="4111"/>
      </w:tblGrid>
      <w:tr>
        <w:trPr>
          <w:trHeight w:val="612"/>
        </w:trPr>
        <w:tc>
          <w:tcPr>
            <w:tcW w:w="1279" w:type="dxa"/>
            <w:textDirection w:val="lrTb"/>
            <w:noWrap w:val="false"/>
          </w:tcPr>
          <w:p>
            <w:pPr>
              <w:pStyle w:val="1038"/>
              <w:contextualSpacing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</w:rPr>
              <w:t xml:space="preserve">Год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4533" w:type="dxa"/>
            <w:textDirection w:val="lrTb"/>
            <w:noWrap w:val="false"/>
          </w:tcPr>
          <w:p>
            <w:pPr>
              <w:pStyle w:val="1038"/>
              <w:contextualSpacing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Среднегодовая численность постоянного населения, чел.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1038"/>
              <w:contextualSpacing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Общий прирост (+), убыль (-) численности населения, чел.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</w:tr>
      <w:tr>
        <w:trPr>
          <w:trHeight w:val="331"/>
        </w:trPr>
        <w:tc>
          <w:tcPr>
            <w:tcW w:w="1279" w:type="dxa"/>
            <w:textDirection w:val="lrTb"/>
            <w:noWrap w:val="false"/>
          </w:tcPr>
          <w:p>
            <w:pPr>
              <w:pStyle w:val="1038"/>
              <w:contextualSpacing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2022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4533" w:type="dxa"/>
            <w:textDirection w:val="lrTb"/>
            <w:noWrap w:val="false"/>
          </w:tcPr>
          <w:p>
            <w:pPr>
              <w:pStyle w:val="1038"/>
              <w:contextualSpacing/>
              <w:jc w:val="center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 xml:space="preserve">4164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1038"/>
              <w:contextualSpacing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</w:tr>
    </w:tbl>
    <w:p>
      <w:pPr>
        <w:pStyle w:val="954"/>
        <w:contextualSpacing/>
        <w:spacing w:after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r/>
      <w:r/>
    </w:p>
    <w:p>
      <w:pPr>
        <w:pStyle w:val="954"/>
        <w:contextualSpacing/>
        <w:spacing w:after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/>
      <w:bookmarkStart w:id="10" w:name="_Toc118276403"/>
      <w:r>
        <w:rPr>
          <w:b/>
          <w:sz w:val="26"/>
          <w:szCs w:val="26"/>
        </w:rPr>
        <w:t xml:space="preserve">3.7 Жилищный фонд</w:t>
      </w:r>
      <w:bookmarkEnd w:id="10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rPr>
          <w:sz w:val="26"/>
          <w:szCs w:val="26"/>
        </w:rPr>
      </w:pPr>
      <w:r>
        <w:rPr>
          <w:sz w:val="26"/>
          <w:szCs w:val="26"/>
        </w:rPr>
        <w:t xml:space="preserve">Жилищный фонд Усть-Таркского сельсовета характеризуется следующими данными: общая площадь жилищного фонда –</w:t>
      </w:r>
      <w:r>
        <w:rPr>
          <w:sz w:val="26"/>
          <w:szCs w:val="26"/>
          <w:highlight w:val="white"/>
        </w:rPr>
        <w:t xml:space="preserve">95,65 тыс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</w:rPr>
        <w:t xml:space="preserve"> м2, обеспеченность жильем – 21,34 м2 общей площади на одного жителя.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tabs>
          <w:tab w:val="center" w:pos="4748" w:leader="none"/>
          <w:tab w:val="left" w:pos="779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Жители Усть-Таркского сельсовета активно участвуют в различных подпрограммах по обеспечению жильем. Средства поступают из федерального и областного бюджета и выделяются гражданам на строительство и приобретения жилья до 70% от стоимости</w:t>
      </w:r>
      <w:r>
        <w:rPr>
          <w:color w:val="ff0000"/>
          <w:sz w:val="26"/>
          <w:szCs w:val="26"/>
        </w:rPr>
        <w:t xml:space="preserve">  </w:t>
      </w:r>
      <w:r>
        <w:rPr>
          <w:sz w:val="26"/>
          <w:szCs w:val="26"/>
        </w:rPr>
        <w:t xml:space="preserve">построенного приобретенного жилья  в виде безвозмездных субсидий. На данный момент ведется строительство жилья в рамках софинансирования муниципального, областного и федерального бюджетов.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tabs>
          <w:tab w:val="center" w:pos="4748" w:leader="none"/>
          <w:tab w:val="left" w:pos="779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Согласно программы комплексного развития социальной инфраструктуры Усть-Таркского сельсовета Усть-Таркского рай</w:t>
      </w:r>
      <w:r>
        <w:rPr>
          <w:sz w:val="26"/>
          <w:szCs w:val="26"/>
        </w:rPr>
        <w:t xml:space="preserve">она Новосибирской области на 2022-2026 годы планируется строительство жилья для молодых семей, работающих в д. Богословка, в количестве двух двухквартирных домов (д. Богословка), ремонт муниципального жилья и приобретение жилья взамен ветхого и аварийного.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tabs>
          <w:tab w:val="center" w:pos="4748" w:leader="none"/>
          <w:tab w:val="left" w:pos="779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Таблица 5 Баланс жилищного фонда сельсовета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9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603"/>
        <w:gridCol w:w="503"/>
        <w:gridCol w:w="952"/>
        <w:gridCol w:w="1118"/>
        <w:gridCol w:w="839"/>
        <w:gridCol w:w="875"/>
        <w:gridCol w:w="853"/>
        <w:gridCol w:w="852"/>
        <w:gridCol w:w="735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Наименование показателей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№ строки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Общая площадь жилых помещений </w:t>
            </w:r>
            <w:r>
              <w:rPr>
                <w:rFonts w:ascii="Symbol" w:hAnsi="Symbol" w:eastAsia="Symbol" w:cs="Symbol"/>
                <w:color w:val="000000"/>
                <w:sz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 всего, тыс м</w:t>
            </w:r>
            <w:r>
              <w:rPr>
                <w:rFonts w:ascii="Times New Roman" w:hAnsi="Times New Roman" w:eastAsia="Times New Roman" w:cs="Times New Roman"/>
                <w:color w:val="000000"/>
                <w:sz w:val="17"/>
                <w:vertAlign w:val="superscript"/>
              </w:rPr>
              <w:t xml:space="preserve">2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в том числе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Число, ед</w:t>
            </w:r>
            <w:r/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1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в жилых домах (индивидуально-определенных зданиях)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в много-квартир-</w:t>
            </w:r>
            <w:r/>
          </w:p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ных домах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в домах блоки-рованной застройки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-57" w:right="-57" w:firstLine="0"/>
              <w:jc w:val="center"/>
              <w:spacing w:before="0" w:after="0"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Жилых домов (индиви-дуально-</w:t>
            </w:r>
            <w:r/>
          </w:p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определен-ных зданий)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8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Многоквар-тирных домов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Домов блоки-рованной застройки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Б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65" w:lineRule="atLeast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7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Жилищный фонд </w:t>
            </w:r>
            <w:r>
              <w:rPr>
                <w:rFonts w:ascii="Symbol" w:hAnsi="Symbol" w:eastAsia="Symbol" w:cs="Symbol"/>
                <w:color w:val="000000"/>
                <w:sz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 всего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95,65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25,10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19,06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51,49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426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1003</w:t>
            </w:r>
            <w:r/>
          </w:p>
        </w:tc>
      </w:tr>
      <w:tr>
        <w:trPr>
          <w:trHeight w:val="49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в том числе в собственности:</w:t>
            </w:r>
            <w:r/>
          </w:p>
          <w:p>
            <w:pPr>
              <w:ind w:left="284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частной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91,22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24,93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16,32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49,97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966</w:t>
            </w:r>
            <w:r/>
          </w:p>
        </w:tc>
      </w:tr>
      <w:tr>
        <w:trPr>
          <w:trHeight w:val="49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624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из нее:</w:t>
            </w:r>
            <w:r/>
          </w:p>
          <w:p>
            <w:pPr>
              <w:ind w:left="51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граждан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91,22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24,93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16,32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49,97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966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51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юридических лиц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284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государственной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397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   из нее</w:t>
            </w:r>
            <w:r/>
          </w:p>
          <w:p>
            <w:pPr>
              <w:ind w:left="51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принадлежащий на правах собственности субъектам Российской Федерации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284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муниципальной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4,43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2,74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1,52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37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Из строки 01 – всего</w:t>
            </w:r>
            <w:r/>
          </w:p>
          <w:p>
            <w:pPr>
              <w:ind w:left="284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   в том числе по целям использования:</w:t>
            </w:r>
            <w:r/>
          </w:p>
          <w:p>
            <w:pPr>
              <w:ind w:left="34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социального использования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1,96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34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34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специализированный: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2,47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2,22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51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    из него </w:t>
            </w:r>
            <w:r/>
          </w:p>
          <w:p>
            <w:pPr>
              <w:ind w:left="51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служебные жилые помещения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10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0,98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0,06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0,73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51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общежития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trike/>
                <w:color w:val="000000"/>
                <w:sz w:val="20"/>
              </w:rPr>
              <w:t xml:space="preserve">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3" w:type="dxa"/>
            <w:vAlign w:val="top"/>
            <w:textDirection w:val="lrTb"/>
            <w:noWrap w:val="false"/>
          </w:tcPr>
          <w:p>
            <w:pPr>
              <w:ind w:left="510" w:right="0" w:firstLine="0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жилые помещения маневренного фонда 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12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tabs>
                <w:tab w:val="left" w:pos="708" w:leader="none"/>
                <w:tab w:val="left" w:pos="108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</w:tbl>
    <w:p>
      <w:pPr>
        <w:tabs>
          <w:tab w:val="center" w:pos="4748" w:leader="none"/>
          <w:tab w:val="left" w:pos="779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генеральным планом Усть-Таркского сельсовета разработан </w:t>
      </w:r>
      <w:r>
        <w:rPr>
          <w:rStyle w:val="944"/>
          <w:sz w:val="26"/>
          <w:szCs w:val="26"/>
          <w:shd w:val="clear" w:color="auto" w:fill="ffffff"/>
        </w:rPr>
        <w:t xml:space="preserve">комплексный план малоэтажного строительства площадью 44 га в с. Усть-Тарка,</w:t>
      </w:r>
      <w:r>
        <w:rPr>
          <w:sz w:val="26"/>
          <w:szCs w:val="26"/>
        </w:rPr>
        <w:t xml:space="preserve"> проектные решения выполнены на расчетный срок</w:t>
      </w:r>
      <w:r>
        <w:rPr>
          <w:color w:val="ff0000"/>
          <w:sz w:val="26"/>
          <w:szCs w:val="26"/>
        </w:rPr>
        <w:t xml:space="preserve">  </w:t>
      </w:r>
      <w:r>
        <w:rPr>
          <w:sz w:val="26"/>
          <w:szCs w:val="26"/>
        </w:rPr>
        <w:t xml:space="preserve">до 2033 г с общей площадью жилой застройки 23,4тыс.кв.м. расчетная численность населения - 550 человек.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rPr>
          <w:sz w:val="26"/>
          <w:szCs w:val="26"/>
        </w:rPr>
      </w:pPr>
      <w:r>
        <w:rPr>
          <w:sz w:val="26"/>
          <w:szCs w:val="26"/>
        </w:rPr>
        <w:t xml:space="preserve">Развития жилых зон в границах деревни Богословка не планируется.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1018"/>
        <w:contextualSpacing/>
        <w:ind w:firstLine="567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3.8 Социальная инфраструктура</w:t>
      </w:r>
      <w:r>
        <w:rPr>
          <w:b/>
          <w:sz w:val="26"/>
          <w:szCs w:val="26"/>
          <w:lang w:eastAsia="ru-RU"/>
        </w:rPr>
      </w:r>
      <w:r>
        <w:rPr>
          <w:b/>
          <w:sz w:val="26"/>
          <w:szCs w:val="26"/>
          <w:lang w:eastAsia="ru-RU"/>
        </w:rPr>
      </w:r>
    </w:p>
    <w:p>
      <w:pPr>
        <w:pStyle w:val="1018"/>
        <w:contextualSpacing/>
        <w:ind w:firstLine="0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</w:r>
      <w:r>
        <w:rPr>
          <w:b/>
          <w:sz w:val="26"/>
          <w:szCs w:val="26"/>
          <w:lang w:eastAsia="ru-RU"/>
        </w:rPr>
      </w:r>
      <w:r>
        <w:rPr>
          <w:b/>
          <w:sz w:val="26"/>
          <w:szCs w:val="26"/>
          <w:lang w:eastAsia="ru-RU"/>
        </w:rPr>
      </w:r>
    </w:p>
    <w:p>
      <w:pPr>
        <w:pStyle w:val="1045"/>
        <w:contextualSpacing/>
        <w:ind w:firstLine="720"/>
        <w:jc w:val="both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Культура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1045"/>
        <w:contextualSpacing/>
        <w:ind w:firstLine="720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ind w:firstLine="55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Задача органов местного самоуправления на современном этапе заключается не только в сохранении традиций, оставленных нам предками, но и во внедрении новых инновационных методов проведения и организации досуга населения в сельской местности. 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Существующие объекты культуры </w:t>
      </w:r>
      <w:r>
        <w:rPr>
          <w:b/>
          <w:i/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rPr>
          <w:sz w:val="26"/>
          <w:szCs w:val="26"/>
        </w:rPr>
      </w:pPr>
      <w:r>
        <w:rPr>
          <w:rStyle w:val="1067"/>
          <w:color w:val="000000"/>
          <w:sz w:val="26"/>
          <w:szCs w:val="26"/>
        </w:rPr>
        <w:t xml:space="preserve">- МОУ ДОД Усть-Таркский ДДТ;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rPr>
          <w:sz w:val="26"/>
          <w:szCs w:val="26"/>
        </w:rPr>
      </w:pPr>
      <w:r>
        <w:rPr>
          <w:rStyle w:val="1067"/>
          <w:color w:val="000000"/>
          <w:sz w:val="26"/>
          <w:szCs w:val="26"/>
        </w:rPr>
        <w:t xml:space="preserve">- МОУ ДОД Усть-Таркская ДШИ;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rPr>
          <w:sz w:val="26"/>
          <w:szCs w:val="26"/>
        </w:rPr>
      </w:pPr>
      <w:r>
        <w:rPr>
          <w:rStyle w:val="1067"/>
          <w:color w:val="000000"/>
          <w:sz w:val="26"/>
          <w:szCs w:val="26"/>
        </w:rPr>
        <w:t xml:space="preserve">- МБУК «Усть-Таркский КДЦ»;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rPr>
          <w:sz w:val="26"/>
          <w:szCs w:val="26"/>
        </w:rPr>
      </w:pPr>
      <w:r>
        <w:rPr>
          <w:rStyle w:val="1067"/>
          <w:color w:val="000000"/>
          <w:sz w:val="26"/>
          <w:szCs w:val="26"/>
        </w:rPr>
        <w:t xml:space="preserve">- Усть-Таркская детская библиотека;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rPr>
          <w:sz w:val="26"/>
          <w:szCs w:val="26"/>
        </w:rPr>
      </w:pPr>
      <w:r>
        <w:rPr>
          <w:rStyle w:val="1067"/>
          <w:color w:val="000000"/>
          <w:sz w:val="26"/>
          <w:szCs w:val="26"/>
        </w:rPr>
        <w:t xml:space="preserve">- Усть-Таркская центральная библиотека.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rStyle w:val="1067"/>
          <w:color w:val="000000"/>
          <w:sz w:val="26"/>
          <w:szCs w:val="26"/>
        </w:rPr>
        <w:t xml:space="preserve">Здание МБУК «Усть-Таркский КДЦ» введено в эксплуатацию в 2002 г. и рассчитано на 400 мест.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rStyle w:val="1067"/>
          <w:sz w:val="26"/>
          <w:szCs w:val="26"/>
        </w:rPr>
      </w:pPr>
      <w:r>
        <w:rPr>
          <w:rStyle w:val="1067"/>
          <w:color w:val="000000"/>
          <w:sz w:val="26"/>
          <w:szCs w:val="26"/>
        </w:rPr>
        <w:t xml:space="preserve">Книжный фонд Усть-Таркской центральной библиотеки насчитывает 42,5 тыс. единиц хранения, детской библиотеки – 25,2 тыс. единиц хранения.</w:t>
      </w:r>
      <w:r>
        <w:rPr>
          <w:rStyle w:val="1067"/>
          <w:sz w:val="26"/>
          <w:szCs w:val="26"/>
        </w:rPr>
      </w:r>
      <w:r>
        <w:rPr>
          <w:rStyle w:val="1067"/>
          <w:sz w:val="26"/>
          <w:szCs w:val="26"/>
        </w:rPr>
      </w:r>
    </w:p>
    <w:p>
      <w:pPr>
        <w:ind w:firstLine="55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В Домах культуры 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5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Одним из основных направлений работы является работа по организации досуга детей и подростков, это: проведение интеллектуальных игр, дней молодежи, уличных и </w:t>
      </w:r>
      <w:r>
        <w:rPr>
          <w:sz w:val="26"/>
          <w:szCs w:val="26"/>
        </w:rPr>
        <w:t xml:space="preserve">настольных игр, различных спартакиад, соревнований по военно-прикладным видам спорта, Дни призывника, проведение единых социальных действий.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Задача в культурно-досуговых учреждениях - вводить инновационные формы организации досуга населения и увеличить процент охвата населения.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0" w:line="240" w:lineRule="auto"/>
        <w:rPr>
          <w:rStyle w:val="1067"/>
          <w:sz w:val="26"/>
          <w:szCs w:val="26"/>
        </w:rPr>
      </w:pPr>
      <w:r>
        <w:rPr>
          <w:sz w:val="26"/>
          <w:szCs w:val="26"/>
        </w:rPr>
        <w:t xml:space="preserve"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  <w:r>
        <w:rPr>
          <w:rStyle w:val="1067"/>
          <w:sz w:val="26"/>
          <w:szCs w:val="26"/>
        </w:rPr>
      </w:r>
      <w:r>
        <w:rPr>
          <w:rStyle w:val="1067"/>
          <w:sz w:val="26"/>
          <w:szCs w:val="26"/>
        </w:rPr>
      </w:r>
    </w:p>
    <w:p>
      <w:pPr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spacing w:line="360" w:lineRule="auto"/>
      </w:pPr>
      <w:r>
        <w:rPr>
          <w:b/>
          <w:bCs/>
          <w:i/>
          <w:iCs/>
          <w:sz w:val="26"/>
          <w:szCs w:val="26"/>
        </w:rPr>
        <w:t xml:space="preserve">Зоны охраны объектов историко-культурного наследия</w:t>
      </w:r>
      <w:r/>
    </w:p>
    <w:p>
      <w:pPr>
        <w:ind w:firstLine="720"/>
        <w:spacing w:after="0" w:line="240" w:lineRule="auto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В соответствии с Федеральным законом Российской Федерации № 73-ФЗ </w:t>
      </w:r>
      <w:r>
        <w:rPr>
          <w:sz w:val="26"/>
          <w:szCs w:val="26"/>
        </w:rPr>
        <w:br/>
        <w:t xml:space="preserve">от 25.06.2002 г. к объектам культурного наследия (памятникам истории и культуры) народов Российской Федерации относятся объекты недвижимого имущ</w:t>
      </w:r>
      <w:r>
        <w:rPr>
          <w:sz w:val="26"/>
          <w:szCs w:val="26"/>
        </w:rPr>
        <w:t xml:space="preserve">ества со связанными с ними произведениями живописи, скульптуры, декоративно-прикладного искусства, объектами науки и техники и иными предметами материальной культуры, возникшие в результате исторических событий, представляющие собой ценность с точки зрения</w:t>
      </w:r>
      <w:r>
        <w:rPr>
          <w:sz w:val="26"/>
          <w:szCs w:val="26"/>
        </w:rPr>
        <w:t xml:space="preserve"> истории, археологии, архитектуры, градостроительства, искусства, науки и техники, эстетики, этнологии или антропологии, социальной культуры и являющиеся свидетельством эпох и цивилизаций, подлинными источниками информации о зарождении и развитии культуры.</w:t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pStyle w:val="1018"/>
      </w:pPr>
      <w:r/>
      <w:r/>
    </w:p>
    <w:p>
      <w:pPr>
        <w:pStyle w:val="1018"/>
      </w:pPr>
      <w:r/>
      <w:r/>
    </w:p>
    <w:p>
      <w:pPr>
        <w:pStyle w:val="1018"/>
      </w:pPr>
      <w:r/>
      <w:r/>
    </w:p>
    <w:p>
      <w:pPr>
        <w:pStyle w:val="1018"/>
      </w:pPr>
      <w:r/>
      <w:r/>
    </w:p>
    <w:p>
      <w:r>
        <w:rPr>
          <w:sz w:val="24"/>
          <w:szCs w:val="24"/>
        </w:rPr>
        <w:t xml:space="preserve">Таблица 6 – Объекты культурного наследия на территории сельсовета</w:t>
      </w:r>
      <w:r/>
    </w:p>
    <w:p>
      <w:r/>
      <w:r/>
    </w:p>
    <w:tbl>
      <w:tblPr>
        <w:tblW w:w="937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648"/>
        <w:gridCol w:w="2772"/>
        <w:gridCol w:w="1980"/>
        <w:gridCol w:w="3970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№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Наименование объекта культурного наследия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/>
              <w:jc w:val="center"/>
            </w:pPr>
            <w:r>
              <w:rPr>
                <w:bCs/>
                <w:sz w:val="24"/>
                <w:szCs w:val="24"/>
              </w:rPr>
              <w:t xml:space="preserve">Датировка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Местоположение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/>
              <w:jc w:val="center"/>
            </w:pPr>
            <w:r>
              <w:rPr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4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70" w:type="dxa"/>
            <w:vAlign w:val="center"/>
            <w:textDirection w:val="lrTb"/>
            <w:noWrap w:val="false"/>
          </w:tcPr>
          <w:p>
            <w:pPr>
              <w:ind w:left="-108"/>
              <w:jc w:val="center"/>
            </w:pPr>
            <w:r>
              <w:rPr>
                <w:b/>
                <w:sz w:val="22"/>
              </w:rPr>
              <w:t xml:space="preserve">Объекты культурного наследия регионального (областного) значения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Одиночный курган </w:t>
            </w:r>
            <w:r/>
          </w:p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Богословка-1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rPr>
                <w:sz w:val="22"/>
              </w:rP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right="-113"/>
              <w:jc w:val="center"/>
            </w:pPr>
            <w:r>
              <w:rPr>
                <w:sz w:val="22"/>
              </w:rPr>
              <w:t xml:space="preserve">В 1,5 км к ЮЗ от с. Богословка, в 0,4 км к Ю от отметки «39 км» трассы «Татарск-Усть-Тарка»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Одиночный курган </w:t>
            </w:r>
            <w:r/>
          </w:p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Богословка-2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rPr>
                <w:sz w:val="22"/>
              </w:rP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right="-113"/>
              <w:jc w:val="center"/>
            </w:pPr>
            <w:r>
              <w:rPr>
                <w:sz w:val="22"/>
              </w:rPr>
              <w:t xml:space="preserve">В 3 км к З от с. Богословка, в 0,3 км </w:t>
            </w:r>
            <w:r>
              <w:rPr>
                <w:sz w:val="22"/>
              </w:rPr>
              <w:br/>
              <w:t xml:space="preserve">к Ю от трассы «Татарск - Усть-Тарка»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Поселение</w:t>
            </w:r>
            <w:r/>
          </w:p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Богословка-3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rPr>
                <w:sz w:val="22"/>
              </w:rPr>
              <w:t xml:space="preserve">V в. до н. э.-III в. н. э. (саргатская культура)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right="-113"/>
              <w:jc w:val="center"/>
            </w:pPr>
            <w:r>
              <w:rPr>
                <w:sz w:val="22"/>
              </w:rPr>
              <w:t xml:space="preserve">В 5,7 км к СЗ от СЗ окраины села Богословка, в 0,59 км к ЮЗ (по прямой) от асфальтированной трассы «Татарск - Усть-Тарка», на мысу надпойменной террасы правого берега р. Оми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7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  <w:rPr>
                <w:bCs/>
              </w:rPr>
            </w:pPr>
            <w:r>
              <w:rPr>
                <w:b/>
                <w:sz w:val="22"/>
              </w:rPr>
              <w:t xml:space="preserve">Выявленные объекты культурного наследия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Курганный могильник</w:t>
            </w:r>
            <w:r/>
          </w:p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Богословка-4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rPr>
                <w:sz w:val="22"/>
              </w:rP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left="-288" w:right="-113"/>
              <w:jc w:val="center"/>
            </w:pPr>
            <w:r>
              <w:rPr>
                <w:sz w:val="22"/>
              </w:rPr>
              <w:t xml:space="preserve">В 6,1 км к СВ от СВ окраины </w:t>
            </w:r>
            <w:r>
              <w:rPr>
                <w:sz w:val="22"/>
              </w:rPr>
              <w:br/>
              <w:t xml:space="preserve">с. Богословка, в 4,5 км к СВ от СВ окраины с. Казачий Мыс (расположе</w:t>
            </w:r>
            <w:r>
              <w:rPr>
                <w:sz w:val="22"/>
              </w:rPr>
              <w:t xml:space="preserve">нного на левом берегу р. Омь, в Татарском районе Новосибирской области), к Ю от автомобильной дороги «Богословка – Верхнеомка», в 0,94 км к ЮЗ от километрового указателя 8/4 на этой дороге (8 км – от начала автодороги, перед с. Богословка), на гриве между </w:t>
            </w:r>
            <w:r>
              <w:rPr>
                <w:sz w:val="22"/>
              </w:rPr>
              <w:br/>
              <w:t xml:space="preserve">р. Омь и оз. Ванечкино, на пашне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Поселение</w:t>
            </w:r>
            <w:r/>
          </w:p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Усть-Тарка-1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rPr>
                <w:sz w:val="22"/>
              </w:rP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rPr>
                <w:sz w:val="22"/>
              </w:rPr>
              <w:t xml:space="preserve">В 2,75 км к ВЮВ от ЮВ окраины </w:t>
            </w:r>
            <w:r>
              <w:rPr>
                <w:sz w:val="22"/>
              </w:rPr>
              <w:br/>
              <w:t xml:space="preserve">с. Усть-Тарка, в 286,58 м к ЮЗ от километрового столба «43/5» на автодороге «Татарск – Усть-Тарка», к востоку от полевой дороги, идущей от автодороги «Татарск – Усть-Тарка» вдоль края террасы правого берега </w:t>
            </w:r>
            <w:r>
              <w:rPr>
                <w:sz w:val="22"/>
              </w:rPr>
              <w:br/>
              <w:t xml:space="preserve">р. Омь на опушке березового леса. Поселение расположено в 0,40 км к СВ от поселения Богословка-3 и в 0,79 км к ССВ от курганного могильника Усть-Тарка-2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Курганный могильник</w:t>
            </w:r>
            <w:r/>
          </w:p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Усть-Тарка-2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left="-108" w:right="-113"/>
              <w:jc w:val="center"/>
            </w:pPr>
            <w:r>
              <w:rPr>
                <w:sz w:val="22"/>
              </w:rPr>
              <w:t xml:space="preserve">не известна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ind w:right="-113"/>
              <w:jc w:val="center"/>
            </w:pPr>
            <w:r>
              <w:rPr>
                <w:sz w:val="22"/>
              </w:rPr>
              <w:t xml:space="preserve">В 3,1 км к ЮВ от ЮВ окраины с. Усть</w:t>
            </w:r>
            <w:r>
              <w:rPr>
                <w:sz w:val="22"/>
              </w:rPr>
              <w:t xml:space="preserve">-Тарка, в 0,79 км к ЮЮЗ от поселения Усть-Тарка-1, в 401,98 м к ЮЮВ от юго-западного угла огорода на поселении Богословка-3, на террасе правого берега р. Омь, у полевой дороги, идущей от автодороги «Татарск – Усть-Тарка» вдоль террасы правого берега р. Омь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70" w:type="dxa"/>
            <w:vAlign w:val="center"/>
            <w:textDirection w:val="lrTb"/>
            <w:noWrap w:val="false"/>
          </w:tcPr>
          <w:p>
            <w:pPr>
              <w:ind w:right="-113"/>
              <w:jc w:val="center"/>
            </w:pPr>
            <w:r>
              <w:rPr>
                <w:b/>
                <w:sz w:val="22"/>
              </w:rPr>
              <w:t xml:space="preserve">Объекты культурного наследия местного значения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</w:pPr>
            <w:r>
              <w:rPr>
                <w:sz w:val="22"/>
              </w:rPr>
              <w:t xml:space="preserve">Монумент воинам погибшим в годы ВОВ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ind w:right="-113"/>
              <w:jc w:val="center"/>
            </w:pPr>
            <w:r>
              <w:rPr>
                <w:sz w:val="22"/>
              </w:rPr>
              <w:t xml:space="preserve">с. Усть-Тарка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2" w:type="dxa"/>
            <w:vAlign w:val="center"/>
            <w:textDirection w:val="lrTb"/>
            <w:noWrap w:val="false"/>
          </w:tcPr>
          <w:p>
            <w:pPr>
              <w:jc w:val="center"/>
              <w:spacing w:after="0" w:line="300" w:lineRule="atLeast"/>
              <w:shd w:val="clear" w:color="ffffff" w:fill="ffffff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Liberation Sans"/>
                <w:color w:val="000000"/>
                <w:sz w:val="22"/>
              </w:rPr>
              <w:t xml:space="preserve">Памятник воинам, погибшим в годы Великой Отечественной войны</w:t>
            </w:r>
            <w:r/>
          </w:p>
          <w:p>
            <w:pPr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ind w:right="-113"/>
              <w:jc w:val="center"/>
            </w:pPr>
            <w:r>
              <w:rPr>
                <w:sz w:val="22"/>
              </w:rPr>
              <w:t xml:space="preserve">д. Богословка</w:t>
            </w:r>
            <w:r/>
          </w:p>
        </w:tc>
      </w:tr>
    </w:tbl>
    <w:p>
      <w:pPr>
        <w:pStyle w:val="1018"/>
      </w:pPr>
      <w:r/>
      <w:r/>
    </w:p>
    <w:p>
      <w:pPr>
        <w:ind w:firstLine="709"/>
        <w:spacing w:line="240" w:lineRule="auto"/>
      </w:pPr>
      <w:r>
        <w:rPr>
          <w:sz w:val="26"/>
          <w:szCs w:val="26"/>
        </w:rPr>
        <w:t xml:space="preserve">В случае обнаружения на территории, подлежащей хозяйственному освоению, объектов, обладающих признаками объекта культурно</w:t>
      </w:r>
      <w:r>
        <w:rPr>
          <w:sz w:val="26"/>
          <w:szCs w:val="26"/>
        </w:rPr>
        <w:t xml:space="preserve">го наследия в проекты проведения землеустроительных, земляных, строительных, мелиоративных, хозяйственных и иных работ должны быть внесены разделы об обеспечении сохранности обнаруженных объектов до включения данных объектов в реестр, а действие положений </w:t>
      </w:r>
      <w:r>
        <w:rPr>
          <w:sz w:val="26"/>
          <w:szCs w:val="26"/>
        </w:rPr>
        <w:t xml:space="preserve">землеустроительной, градостроительной и проектной документации, градостроительных регламентов на данной территории приостанавливается до внесения соответствующих изменений.</w:t>
      </w:r>
      <w:r/>
    </w:p>
    <w:p>
      <w:pPr>
        <w:ind w:firstLine="709"/>
        <w:spacing w:line="240" w:lineRule="auto"/>
      </w:pPr>
      <w:r>
        <w:rPr>
          <w:sz w:val="26"/>
          <w:szCs w:val="26"/>
        </w:rPr>
        <w:t xml:space="preserve">Земляные, строительные, мелиоративные, хозяйственные и иные работы должны быть немедленно приостановлены исполнителем работ в случае обнаружения объекта, обладающего признаками объекта культурного наследия.</w:t>
      </w:r>
      <w:r/>
    </w:p>
    <w:p>
      <w:pPr>
        <w:ind w:firstLine="709"/>
        <w:spacing w:line="240" w:lineRule="auto"/>
      </w:pPr>
      <w:r>
        <w:rPr>
          <w:sz w:val="26"/>
          <w:szCs w:val="26"/>
        </w:rPr>
        <w:t xml:space="preserve">Мероприятия по охране объектов культурного наследия Усть-Таркского сельсовета включают в себя:</w:t>
      </w:r>
      <w:r/>
    </w:p>
    <w:p>
      <w:pPr>
        <w:numPr>
          <w:ilvl w:val="0"/>
          <w:numId w:val="37"/>
        </w:numPr>
        <w:ind w:left="1260" w:hanging="540"/>
        <w:spacing w:line="240" w:lineRule="auto"/>
        <w:tabs>
          <w:tab w:val="left" w:pos="1260" w:leader="none"/>
        </w:tabs>
      </w:pPr>
      <w:r>
        <w:rPr>
          <w:sz w:val="26"/>
          <w:szCs w:val="26"/>
        </w:rPr>
        <w:t xml:space="preserve">инициация работ по выявлению неизвестных и не учтенных к настоящему времени объектов культурного наследия;</w:t>
      </w:r>
      <w:r/>
    </w:p>
    <w:p>
      <w:pPr>
        <w:numPr>
          <w:ilvl w:val="0"/>
          <w:numId w:val="37"/>
        </w:numPr>
        <w:ind w:left="1260" w:hanging="540"/>
        <w:spacing w:line="240" w:lineRule="auto"/>
        <w:tabs>
          <w:tab w:val="left" w:pos="1260" w:leader="none"/>
        </w:tabs>
      </w:pPr>
      <w:r>
        <w:rPr>
          <w:sz w:val="26"/>
          <w:szCs w:val="26"/>
        </w:rPr>
        <w:t xml:space="preserve">инициировать процесс перевода земель в пределах территории объекта культурного наследия в земли историко-культурного назначения;</w:t>
      </w:r>
      <w:r/>
    </w:p>
    <w:p>
      <w:pPr>
        <w:numPr>
          <w:ilvl w:val="0"/>
          <w:numId w:val="37"/>
        </w:numPr>
        <w:ind w:left="1260" w:hanging="540"/>
        <w:spacing w:line="240" w:lineRule="auto"/>
        <w:tabs>
          <w:tab w:val="left" w:pos="1260" w:leader="none"/>
        </w:tabs>
      </w:pPr>
      <w:r>
        <w:rPr>
          <w:sz w:val="26"/>
          <w:szCs w:val="26"/>
        </w:rPr>
        <w:t xml:space="preserve">инициация работ по постановке участков объектов культурного наследия на государственный кадастровый учет;</w:t>
      </w:r>
      <w:r/>
    </w:p>
    <w:p>
      <w:pPr>
        <w:numPr>
          <w:ilvl w:val="0"/>
          <w:numId w:val="37"/>
        </w:numPr>
        <w:ind w:left="1260" w:hanging="540"/>
        <w:spacing w:line="240" w:lineRule="auto"/>
        <w:tabs>
          <w:tab w:val="left" w:pos="1260" w:leader="none"/>
        </w:tabs>
      </w:pPr>
      <w:r>
        <w:rPr>
          <w:sz w:val="26"/>
          <w:szCs w:val="26"/>
        </w:rPr>
        <w:t xml:space="preserve">согласование с государственными органами по охране памятников хозяйственной и иной деятельности в пределах территорий и охранных зон объектов культурного наследия;</w:t>
      </w:r>
      <w:r/>
    </w:p>
    <w:p>
      <w:pPr>
        <w:numPr>
          <w:ilvl w:val="0"/>
          <w:numId w:val="37"/>
        </w:numPr>
        <w:ind w:left="1260" w:hanging="540"/>
        <w:spacing w:line="240" w:lineRule="auto"/>
        <w:tabs>
          <w:tab w:val="left" w:pos="1260" w:leader="none"/>
        </w:tabs>
      </w:pPr>
      <w:r>
        <w:rPr>
          <w:sz w:val="26"/>
          <w:szCs w:val="26"/>
        </w:rPr>
        <w:t xml:space="preserve">инициировать процесс по разработке проектов зон охраны объектов культурного наследия и утверждение их в установленном порядке,</w:t>
      </w:r>
      <w:r>
        <w:rPr>
          <w:rFonts w:eastAsia="timesnewromanpsmt;arial unicode"/>
          <w:sz w:val="26"/>
          <w:szCs w:val="26"/>
        </w:rPr>
        <w:t xml:space="preserve"> определение направления будущего хозяйственного использования.</w:t>
      </w:r>
      <w:r/>
    </w:p>
    <w:p>
      <w:pPr>
        <w:pStyle w:val="1045"/>
        <w:contextualSpacing/>
        <w:ind w:firstLine="720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1045"/>
        <w:contextualSpacing/>
        <w:ind w:firstLine="720"/>
        <w:jc w:val="both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Здравоохранение 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1045"/>
        <w:contextualSpacing/>
        <w:ind w:firstLine="720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85"/>
        <w:contextualSpacing/>
        <w:ind w:right="-6" w:firstLine="426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Медицинское обслуживание населения осуществляют: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5"/>
        <w:contextualSpacing/>
        <w:ind w:right="-6" w:firstLine="709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Таблица №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</w:r>
      <w:r>
        <w:rPr>
          <w:b/>
          <w:i/>
          <w:sz w:val="26"/>
          <w:szCs w:val="26"/>
          <w:lang w:eastAsia="ru-RU"/>
        </w:rPr>
      </w:r>
      <w:r>
        <w:rPr>
          <w:b/>
          <w:i/>
          <w:sz w:val="26"/>
          <w:szCs w:val="26"/>
          <w:lang w:eastAsia="ru-RU"/>
        </w:rPr>
      </w:r>
    </w:p>
    <w:tbl>
      <w:tblPr>
        <w:tblStyle w:val="947"/>
        <w:tblW w:w="10312" w:type="dxa"/>
        <w:tblLayout w:type="fixed"/>
        <w:tblLook w:val="01E0" w:firstRow="1" w:lastRow="1" w:firstColumn="1" w:lastColumn="1" w:noHBand="0" w:noVBand="0"/>
      </w:tblPr>
      <w:tblGrid>
        <w:gridCol w:w="358"/>
        <w:gridCol w:w="2159"/>
        <w:gridCol w:w="1701"/>
        <w:gridCol w:w="992"/>
        <w:gridCol w:w="992"/>
        <w:gridCol w:w="850"/>
        <w:gridCol w:w="850"/>
        <w:gridCol w:w="1134"/>
        <w:gridCol w:w="1276"/>
      </w:tblGrid>
      <w:tr>
        <w:trPr/>
        <w:tc>
          <w:tcPr>
            <w:gridSpan w:val="9"/>
            <w:tcW w:w="1031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Учреждения здравоохранения и социального обеспечения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544"/>
        </w:trPr>
        <w:tc>
          <w:tcPr>
            <w:tcW w:w="3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№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21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Наименование объекта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Адрес объекта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Ед. измерения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Год постройки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Площадь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Кв.м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gridSpan w:val="2"/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Вместимость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Техническое состояние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(% износа)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</w:tr>
      <w:tr>
        <w:trPr>
          <w:trHeight w:val="570"/>
        </w:trPr>
        <w:tc>
          <w:tcPr>
            <w:tcW w:w="35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  <w:tc>
          <w:tcPr>
            <w:tcW w:w="21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Проектная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фактическая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</w:tr>
      <w:tr>
        <w:trPr/>
        <w:tc>
          <w:tcPr>
            <w:tcW w:w="35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59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ГБУЗ «Усть-Таркская ЦРБ» Инфекционное отделение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Зеленая, 28/2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койко/мест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1986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227,6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5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59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 xml:space="preserve">ГБУЗ Усть –Таркское ЦРБ»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Зеленая, 28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пос./смену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1996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2967,5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38.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5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59" w:type="dxa"/>
            <w:vAlign w:val="center"/>
            <w:textDirection w:val="lrTb"/>
            <w:noWrap w:val="false"/>
          </w:tcPr>
          <w:p>
            <w:pPr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ГБУЗ НСО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ind w:left="-142" w:right="-142"/>
              <w:jc w:val="center"/>
              <w:spacing w:line="264" w:lineRule="auto"/>
            </w:pPr>
            <w:r/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человеко/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1986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2902,7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38.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5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59" w:type="dxa"/>
            <w:vAlign w:val="center"/>
            <w:textDirection w:val="lrTb"/>
            <w:noWrap w:val="false"/>
          </w:tcPr>
          <w:p>
            <w:pPr>
              <w:ind w:right="-113"/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ГБЗУ Усть-Таркская ЦРБ (Туберкулезное отделение)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left="-142" w:right="-142"/>
              <w:jc w:val="center"/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Дзержинского, 18А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объект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1967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ind w:left="-113" w:right="-113"/>
              <w:jc w:val="center"/>
              <w:spacing w:line="26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221,7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5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59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Богословский ФАП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Богословка,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Зеленая, 26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койко/мест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1990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72,0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5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59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Аптека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ул. Дзержинского, 18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объект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607,0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5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59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 «КЦСОН» Усть-Таркского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объект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5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59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Аптека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ул. Зеленая, 28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объект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н.д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1018"/>
        <w:contextualSpacing/>
        <w:rPr>
          <w:b/>
          <w:bCs/>
          <w:i/>
          <w:sz w:val="26"/>
          <w:szCs w:val="26"/>
          <w:lang w:eastAsia="ru-RU"/>
        </w:rPr>
      </w:pP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pStyle w:val="1018"/>
        <w:contextualSpacing/>
        <w:rPr>
          <w:b/>
          <w:bCs/>
          <w:i/>
          <w:sz w:val="26"/>
          <w:szCs w:val="26"/>
          <w:lang w:eastAsia="ru-RU"/>
        </w:rPr>
      </w:pP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pStyle w:val="1018"/>
        <w:contextualSpacing/>
        <w:rPr>
          <w:b/>
          <w:bCs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Образование </w:t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pStyle w:val="1018"/>
        <w:contextualSpacing/>
        <w:rPr>
          <w:b/>
          <w:bCs/>
          <w:i/>
          <w:sz w:val="26"/>
          <w:szCs w:val="26"/>
          <w:lang w:eastAsia="ru-RU"/>
        </w:rPr>
      </w:pP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системе образования</w:t>
      </w:r>
      <w:r>
        <w:rPr>
          <w:sz w:val="26"/>
          <w:szCs w:val="26"/>
          <w:highlight w:val="white"/>
        </w:rPr>
        <w:t xml:space="preserve"> Усть</w:t>
      </w:r>
      <w:r>
        <w:rPr>
          <w:sz w:val="26"/>
          <w:szCs w:val="26"/>
        </w:rPr>
        <w:t xml:space="preserve">-Тарка сельсовета функционируют 2 дошкольных образовательных учреждения,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 xml:space="preserve">2 </w:t>
      </w:r>
      <w:r>
        <w:rPr>
          <w:sz w:val="26"/>
          <w:szCs w:val="26"/>
        </w:rPr>
        <w:t xml:space="preserve"> школы, 2 учреждения дополнительного образования детей, 1 учреждение начального профессионального образования.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Здание МДОУ Усть-Таркский детский сад «Колосок» введено в эксплуатацию в 1976 г. и рассчитано на 110 мест. Фактически детский сад посещает 118 детей.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Проектная мощность МДОУ Усть-Таркский детский сад «Солнышко» составляет 118 мест. Фактически детский сад посещает 100 человек.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Здание Усть-Таркской СОШ введено в эксплуатацию в 1976 г.  и рассчитано на 480 мест. Фактически на начало 2011-2012 учебного года школу посещало 403 ученика. Износ здания школы составляет 88 %.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Усть-Таркскую районную вечернюю общеобразовательную школу (сменную) посещают 32 ученика.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Организация дополнительного образования учащихся осуществляется в здании школы, МОУ ДОД Усть-Таркский ДДТ и МОУ ДОД Усть-Таркская ДШИ.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Здание МОУ ДОД Усть-Таркский ДДТ приспособленное, введено в эксплуатацию в 1940 г. Вместимость учреждения составляет 200 мест. Физический износ здания достигает 100 %.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5"/>
        <w:contextualSpacing/>
        <w:ind w:right="-6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Здание МОУ ДОД Усть-Таркская ДШИ приспособленное, рассчитано на 180 мест. Физический износ составляет 38 %.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2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20"/>
        <w:spacing w:line="240" w:lineRule="auto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Спорт 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20"/>
        <w:spacing w:line="240" w:lineRule="auto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567"/>
        <w:spacing w:after="0" w:line="240" w:lineRule="auto"/>
        <w:rPr>
          <w:b/>
          <w:bCs/>
          <w:i/>
          <w:sz w:val="26"/>
          <w:szCs w:val="26"/>
        </w:rPr>
      </w:pPr>
      <w:r>
        <w:rPr>
          <w:sz w:val="26"/>
          <w:szCs w:val="26"/>
        </w:rPr>
        <w:t xml:space="preserve">Развитию физической культуры и массового спорта на территории Усть-Таркского сельсовета уделяется особое внимание. Хорошее здоровье обеспечивает долгую и активную жизнь, способствует выполнению планов, преодолению трудностей, д</w:t>
      </w:r>
      <w:r>
        <w:rPr>
          <w:sz w:val="26"/>
          <w:szCs w:val="26"/>
        </w:rPr>
        <w:t xml:space="preserve">ает возможность успешно решать жизненные задачи. Основная задача администрации муниципального образования по реализации политики в области физической культуры и спорта заключается в создании для населения условий для занятий физической культурой и спортом.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ind w:firstLine="41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На территории поселения ведется спортивная работа в многочисленных секциях.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1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При школах имеются спортивные площадки, где проводятся игры и соревнования по волейболу, баскетболу, футболу, военно-спортивные соревнования и т.д.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19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В зимний период любимыми видами спорта среди населения является катание на коньках, на лыжах.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Поселение достойно представляет многие виды спорта на районных и областных соревнованиях.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территории села действуют следующие физкультурно-спортивные сооружения и учреждения: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МОУ ДОД Усть-Таркская ДЮСШ «Темп» на 420 мест;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МУ «Клуб физического развития», который посещают 100 человек;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 w:line="240" w:lineRule="auto"/>
      </w:pPr>
      <w:r>
        <w:rPr>
          <w:sz w:val="26"/>
          <w:szCs w:val="26"/>
        </w:rPr>
        <w:t xml:space="preserve">- Стадион «Юность» площадью 1,9 га.</w:t>
      </w:r>
      <w:r/>
    </w:p>
    <w:p>
      <w:pPr>
        <w:ind w:firstLine="567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Крытая хоккейная коробка площадью 1868,9 кв.м.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567"/>
        <w:spacing w:line="240" w:lineRule="auto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567"/>
        <w:spacing w:line="240" w:lineRule="auto"/>
        <w:rPr>
          <w:szCs w:val="28"/>
        </w:rPr>
      </w:pPr>
      <w:r>
        <w:rPr>
          <w:sz w:val="26"/>
          <w:szCs w:val="26"/>
        </w:rPr>
        <w:t xml:space="preserve">Проблемы в области развития физкультуры и спорта: необходимо провести работу по освещению хоккейной коробки в д. Богословк</w:t>
      </w:r>
      <w:r>
        <w:rPr>
          <w:szCs w:val="28"/>
        </w:rPr>
        <w:t xml:space="preserve">а</w:t>
      </w:r>
      <w:r>
        <w:rPr>
          <w:szCs w:val="28"/>
        </w:rPr>
      </w:r>
      <w:r>
        <w:rPr>
          <w:szCs w:val="28"/>
        </w:rPr>
      </w:r>
    </w:p>
    <w:p>
      <w:pPr>
        <w:pStyle w:val="938"/>
        <w:contextualSpacing/>
        <w:ind w:firstLine="72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20"/>
        <w:spacing w:line="240" w:lineRule="auto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Связь 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1068"/>
        <w:ind w:firstLine="709"/>
        <w:spacing w:line="240" w:lineRule="auto"/>
      </w:pPr>
      <w:r>
        <w:rPr>
          <w:sz w:val="26"/>
          <w:szCs w:val="26"/>
        </w:rPr>
        <w:t xml:space="preserve">Предприятием, которое оказывает услуги почтовой связи на территории сельсовета, является Усть-Таркское отделение Татарского почтамта ФГУП «Почта России». </w:t>
      </w:r>
      <w:r/>
    </w:p>
    <w:p>
      <w:pPr>
        <w:pStyle w:val="1068"/>
        <w:ind w:firstLine="709"/>
        <w:spacing w:line="240" w:lineRule="auto"/>
      </w:pPr>
      <w:r>
        <w:rPr>
          <w:sz w:val="26"/>
          <w:szCs w:val="26"/>
        </w:rPr>
        <w:t xml:space="preserve">Почтовым отделением связи оказываются следующие виды услуг:</w:t>
      </w:r>
      <w:r/>
    </w:p>
    <w:p>
      <w:pPr>
        <w:numPr>
          <w:ilvl w:val="1"/>
          <w:numId w:val="39"/>
        </w:numPr>
        <w:ind w:left="1260" w:hanging="540"/>
        <w:spacing w:after="0" w:line="240" w:lineRule="auto"/>
        <w:tabs>
          <w:tab w:val="left" w:pos="1260" w:leader="none"/>
        </w:tabs>
      </w:pPr>
      <w:r>
        <w:rPr>
          <w:sz w:val="26"/>
          <w:szCs w:val="26"/>
        </w:rPr>
        <w:t xml:space="preserve">подписка на газеты и журналы;</w:t>
      </w:r>
      <w:r/>
    </w:p>
    <w:p>
      <w:pPr>
        <w:numPr>
          <w:ilvl w:val="1"/>
          <w:numId w:val="39"/>
        </w:numPr>
        <w:ind w:left="1260" w:hanging="540"/>
        <w:spacing w:after="0" w:line="240" w:lineRule="auto"/>
        <w:tabs>
          <w:tab w:val="left" w:pos="1260" w:leader="none"/>
        </w:tabs>
      </w:pPr>
      <w:r>
        <w:rPr>
          <w:sz w:val="26"/>
          <w:szCs w:val="26"/>
        </w:rPr>
        <w:t xml:space="preserve">доставка на дом почтовых отправлений и переводов;</w:t>
      </w:r>
      <w:r/>
    </w:p>
    <w:p>
      <w:pPr>
        <w:numPr>
          <w:ilvl w:val="1"/>
          <w:numId w:val="39"/>
        </w:numPr>
        <w:ind w:left="1260" w:hanging="540"/>
        <w:spacing w:after="0" w:line="240" w:lineRule="auto"/>
        <w:tabs>
          <w:tab w:val="left" w:pos="1260" w:leader="none"/>
        </w:tabs>
      </w:pPr>
      <w:r>
        <w:rPr>
          <w:sz w:val="26"/>
          <w:szCs w:val="26"/>
        </w:rPr>
        <w:t xml:space="preserve">прием почтовых отправлений и переводов с оплаченной доставкой по России;</w:t>
      </w:r>
      <w:r/>
    </w:p>
    <w:p>
      <w:pPr>
        <w:numPr>
          <w:ilvl w:val="1"/>
          <w:numId w:val="39"/>
        </w:numPr>
        <w:ind w:left="1260" w:hanging="540"/>
        <w:spacing w:after="0" w:line="240" w:lineRule="auto"/>
        <w:tabs>
          <w:tab w:val="left" w:pos="1260" w:leader="none"/>
        </w:tabs>
      </w:pPr>
      <w:r>
        <w:rPr>
          <w:sz w:val="26"/>
          <w:szCs w:val="26"/>
        </w:rPr>
        <w:t xml:space="preserve">доставка подписчикам различной литературы;</w:t>
      </w:r>
      <w:r/>
    </w:p>
    <w:p>
      <w:pPr>
        <w:numPr>
          <w:ilvl w:val="1"/>
          <w:numId w:val="39"/>
        </w:numPr>
        <w:ind w:left="1260" w:hanging="540"/>
        <w:spacing w:after="0" w:line="240" w:lineRule="auto"/>
        <w:tabs>
          <w:tab w:val="left" w:pos="1260" w:leader="none"/>
        </w:tabs>
      </w:pPr>
      <w:r>
        <w:rPr>
          <w:sz w:val="26"/>
          <w:szCs w:val="26"/>
        </w:rPr>
        <w:t xml:space="preserve">выплата пенсий всем категориям пенсионеров поселения и детских пособий.</w:t>
      </w:r>
      <w:r/>
    </w:p>
    <w:p>
      <w:pPr>
        <w:pStyle w:val="938"/>
        <w:contextualSpacing/>
        <w:ind w:firstLine="72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Услуги электросвязи и интернета на территории сельсовета оказывает ОАО «Ростелеком».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after="198" w:line="240" w:lineRule="auto"/>
      </w:pPr>
      <w:r>
        <w:rPr>
          <w:sz w:val="26"/>
          <w:szCs w:val="26"/>
        </w:rPr>
        <w:t xml:space="preserve">На территории сельсовета работают 4 оператора сотовой связи – МТС, Билайн, Мегафон, Теле-2. </w:t>
      </w:r>
      <w:r/>
    </w:p>
    <w:p>
      <w:pPr>
        <w:ind w:firstLine="709"/>
        <w:spacing w:after="198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Все населенные пункты сельсовета охвачены вещанием федеральных каналов «Первый», «Россия 1» и «Россия 2», а также региональной телекомпании «ОТС».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20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20"/>
        <w:spacing w:line="24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Торговля 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contextualSpacing/>
        <w:ind w:firstLine="54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По состоянию </w:t>
      </w:r>
      <w:r>
        <w:rPr>
          <w:sz w:val="26"/>
          <w:szCs w:val="26"/>
        </w:rPr>
        <w:t xml:space="preserve">на конец 2022 г. на территории сельсовета расположены  предприятия торговли общей торговой площадью - 8969 кв. м. . Населению доступен практически весь ассортимент  товаров: продовольственные, промышленные, сложная бытовая техника, строительные материалы.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2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территории Усть-Таркского района  располагаются  два супермаркета, минимаркеты, аптеки и аптечные магазины.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54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Также на территории с. Усть-Тарка расположены кафе и столовая.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/>
      <w:bookmarkStart w:id="11" w:name="_Toc118276404"/>
      <w:r>
        <w:rPr>
          <w:b/>
          <w:sz w:val="26"/>
          <w:szCs w:val="26"/>
        </w:rPr>
        <w:t xml:space="preserve">3.9 Транспортная инфраструктура</w:t>
      </w:r>
      <w:bookmarkEnd w:id="11"/>
      <w: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r/>
      <w:r/>
    </w:p>
    <w:p>
      <w:pPr>
        <w:ind w:firstLine="567"/>
        <w:rPr>
          <w:sz w:val="26"/>
          <w:szCs w:val="26"/>
        </w:rPr>
      </w:pPr>
      <w:r>
        <w:rPr>
          <w:bCs/>
          <w:sz w:val="26"/>
          <w:szCs w:val="26"/>
        </w:rPr>
        <w:t xml:space="preserve">Транспортно-экономические связи </w:t>
      </w:r>
      <w:r>
        <w:rPr>
          <w:sz w:val="26"/>
          <w:szCs w:val="26"/>
        </w:rPr>
        <w:t xml:space="preserve">Усть-Таркского сельсовета </w:t>
      </w:r>
      <w:r>
        <w:rPr>
          <w:bCs/>
          <w:sz w:val="26"/>
          <w:szCs w:val="26"/>
        </w:rPr>
        <w:t xml:space="preserve">осуществляются только автомобильным видом транспорта. </w:t>
      </w:r>
      <w:r>
        <w:rPr>
          <w:sz w:val="26"/>
          <w:szCs w:val="26"/>
        </w:rPr>
        <w:t xml:space="preserve">Пассажирские автобусные перевозки на территории района осуществляет ООО «Усть-Таркское АТП». Организацией обслуживаются 12 маршрутов, охватывающих все населенные пункты Усть-Тарского района. Также организ</w:t>
      </w:r>
      <w:r>
        <w:rPr>
          <w:sz w:val="26"/>
          <w:szCs w:val="26"/>
        </w:rPr>
        <w:t xml:space="preserve">ован автобусный маршрут до железнодорожного вокзала г. Татарска. Населенных пунктов, не имеющих транспортной доступности по дорогам с твердым покрытием до районного, областного центра нет; ж/д вокзала на территории района нет, автовокзал – в с. Усть-Тарка.</w:t>
      </w:r>
      <w:r>
        <w:rPr>
          <w:bCs/>
          <w:sz w:val="26"/>
          <w:szCs w:val="26"/>
        </w:rPr>
        <w:t xml:space="preserve"> Большинство передвижений в поселении приходится на личный транспорт и пешеходные сообщения.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Автомобильный парк сельского поселения преимущественно состоит из легковых автомобилей, принадлежащих частным лицам. Детальная информация видов транспорта отсутствует. За последние годы отмечается рост </w:t>
      </w:r>
      <w:r>
        <w:rPr>
          <w:sz w:val="26"/>
          <w:szCs w:val="26"/>
        </w:rPr>
        <w:t xml:space="preserve">транспортных средств рост и уровня автомобилизации населения. Хранение транспортных средств осуществляется на придомовых территориях. Парковочные места имеются у всех объектов социальной инфраструктуры и у административных зданий хозяйствующих организаций.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shd w:val="clear" w:color="auto" w:fill="ffffff"/>
        <w:rPr>
          <w:bCs/>
          <w:szCs w:val="28"/>
        </w:rPr>
      </w:pPr>
      <w:r>
        <w:rPr>
          <w:bCs/>
          <w:sz w:val="26"/>
          <w:szCs w:val="26"/>
        </w:rPr>
        <w:t xml:space="preserve">В основе оценки транспортного спроса лежит анализ передвижения населения к объектам тяготения.  </w:t>
      </w:r>
      <w:r>
        <w:rPr>
          <w:bCs/>
          <w:szCs w:val="28"/>
        </w:rPr>
        <w:t xml:space="preserve"> 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contextualSpacing/>
        <w:ind w:firstLine="709"/>
        <w:spacing w:after="0" w:line="240" w:lineRule="auto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contextualSpacing/>
        <w:ind w:firstLine="709"/>
        <w:spacing w:after="0" w:line="240" w:lineRule="auto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 </w:t>
      </w:r>
      <w:r>
        <w:rPr>
          <w:b/>
          <w:i/>
          <w:sz w:val="26"/>
          <w:szCs w:val="26"/>
        </w:rPr>
        <w:t xml:space="preserve">Поселковые автодороги и транспорт 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ind w:firstLine="567"/>
        <w:rPr>
          <w:sz w:val="26"/>
          <w:szCs w:val="26"/>
        </w:rPr>
      </w:pP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ab/>
        <w:t xml:space="preserve">Дорожно-транспортная сеть поселения состоит из дорог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none"/>
        </w:rPr>
        <w:t xml:space="preserve">общего пользования</w:t>
      </w:r>
      <w:r>
        <w:rPr>
          <w:sz w:val="26"/>
          <w:szCs w:val="26"/>
        </w:rPr>
        <w:t xml:space="preserve">, не предназначенных  для скоростного движения. В таблице 8 пр</w:t>
      </w:r>
      <w:r>
        <w:rPr>
          <w:sz w:val="26"/>
          <w:szCs w:val="26"/>
        </w:rPr>
        <w:t xml:space="preserve">иведен перечень и характеристика дорог местного значения. Большинство дорог общего пользования местного значения имеют асфальтобетонное покрытие а также щебеночное и грунтовое покрытие. Содержание автомобильных дорог осуществляется подрядной организацией.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widowControl w:val="off"/>
        <w:rPr>
          <w:sz w:val="26"/>
          <w:szCs w:val="26"/>
        </w:rPr>
      </w:pPr>
      <w:r>
        <w:rPr>
          <w:bCs/>
          <w:sz w:val="26"/>
          <w:szCs w:val="26"/>
        </w:rPr>
        <w:t xml:space="preserve">Отсутствие альтернативных видов транспорта предъявляет большие требования к автомобильным дорогам. Строительства новых автомобильных дорог в последние годы не проводилось. Сохранен</w:t>
      </w:r>
      <w:r>
        <w:rPr>
          <w:bCs/>
          <w:sz w:val="26"/>
          <w:szCs w:val="26"/>
        </w:rPr>
        <w:t xml:space="preserve">ие автодорожной инфраструктуры осуществлялось только за счет ремонта автодорог с твердым покрытием и автодорог с гравийным покрытием. В условиях ограниченного финансирования дорожных работ с каждым годом увеличивается протяженность дорог требующих ремонта.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line="240" w:lineRule="auto"/>
        <w:rPr>
          <w:sz w:val="26"/>
          <w:szCs w:val="26"/>
        </w:rPr>
      </w:pPr>
      <w:r>
        <w:rPr>
          <w:bCs/>
          <w:sz w:val="26"/>
          <w:szCs w:val="26"/>
        </w:rPr>
        <w:t xml:space="preserve">Общая протяжённость дорожной сети составляет 27 км. из которых требуют ремонта км. дороги требуют ямочного  и капитального ремонта.</w:t>
      </w:r>
      <w:r>
        <w:rPr>
          <w:bCs/>
          <w:szCs w:val="28"/>
        </w:rPr>
        <w:t xml:space="preserve">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ind w:firstLine="0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018"/>
        <w:rPr>
          <w:sz w:val="26"/>
          <w:szCs w:val="26"/>
        </w:rPr>
      </w:pPr>
      <w:r>
        <w:rPr>
          <w:sz w:val="26"/>
          <w:szCs w:val="26"/>
        </w:rPr>
        <w:t xml:space="preserve">Таблица 8 – Основные показатели существующей улично-дорожной сети населенных пунктов Усть-Таркского сельсовета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029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839"/>
        <w:gridCol w:w="2539"/>
        <w:gridCol w:w="1979"/>
        <w:gridCol w:w="2162"/>
        <w:gridCol w:w="1776"/>
      </w:tblGrid>
      <w:tr>
        <w:trPr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Населенный пункт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Тип покрытия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Протяженность метров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нормативное состояние метров.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Ленина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1832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1263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Ленина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229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Береговая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238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238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пер. ПДУ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Комсомольская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2686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Дзержинского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1951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Иванова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1855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1146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Энергетиков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385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Энергетиков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178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Набережная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Набережная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Набережная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плиты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Есенина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плиты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Есенина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Есенина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Чапаева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Чапаева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Чапаева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922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Гагарина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327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Зеленая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788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488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Космонавтов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Космонавтов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Космонавтов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494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Комарова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Комарова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пер. Больничный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350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М.Горького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М.Горького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Почтовая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290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290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Почтовая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 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Кирова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525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Кирова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752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О. Кошевого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О. Кошевого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685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Транспортная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1295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Матросова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258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Матросова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965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Садовая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782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Кооперативная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Лесная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Лесная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568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Молодежная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560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пер. О. Кошевого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пер. Матросова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пер. Комсомольский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175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пер. Солнечный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пер. Клубный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пер. Зеленый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Зеленая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Зеленая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1056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Солнечная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Солнечная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850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5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Богословка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пер. Школьный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323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323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пер. Иванова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Подъезд к площадке ТКО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щебень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53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Комсомольская (Мост)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79" w:type="dxa"/>
            <w:vAlign w:val="bottom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асфальтобетон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7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contextualSpacing/>
        <w:ind w:right="-79"/>
        <w:spacing w:after="0" w:line="240" w:lineRule="auto"/>
      </w:pPr>
      <w:r>
        <w:rPr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-87630</wp:posOffset>
                </wp:positionH>
                <wp:positionV relativeFrom="margin">
                  <wp:posOffset>-150495</wp:posOffset>
                </wp:positionV>
                <wp:extent cx="6931025" cy="10687685"/>
                <wp:effectExtent l="0" t="0" r="3175" b="0"/>
                <wp:wrapNone/>
                <wp:docPr id="3" name="Рисунок 3" descr="image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image27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1"/>
                        <a:stretch/>
                      </pic:blipFill>
                      <pic:spPr bwMode="auto">
                        <a:xfrm>
                          <a:off x="0" y="0"/>
                          <a:ext cx="6931025" cy="106876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-251663360;o:allowoverlap:true;o:allowincell:true;mso-position-horizontal-relative:margin;margin-left:-6.90pt;mso-position-horizontal:absolute;mso-position-vertical-relative:margin;margin-top:-11.85pt;mso-position-vertical:absolute;width:545.75pt;height:841.55pt;mso-wrap-distance-left:9.00pt;mso-wrap-distance-top:0.00pt;mso-wrap-distance-right:9.00pt;mso-wrap-distance-bottom:0.00pt;" stroked="false">
                <v:path textboxrect="0,0,0,0"/>
                <v:imagedata r:id="rId21" o:title=""/>
              </v:shape>
            </w:pict>
          </mc:Fallback>
        </mc:AlternateContent>
      </w:r>
      <w:r/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/>
      <w:bookmarkStart w:id="12" w:name="_Toc118276405"/>
      <w:r>
        <w:rPr>
          <w:b/>
          <w:sz w:val="26"/>
          <w:szCs w:val="26"/>
        </w:rPr>
        <w:t xml:space="preserve">3.10 Коммунальная инфраструктура</w:t>
      </w:r>
      <w:bookmarkEnd w:id="12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contextualSpacing/>
        <w:ind w:firstLine="840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Несмотря на тот факт, что в целом с</w:t>
      </w:r>
      <w:r>
        <w:rPr>
          <w:sz w:val="26"/>
          <w:szCs w:val="26"/>
          <w:highlight w:val="white"/>
        </w:rPr>
        <w:t xml:space="preserve">ельски</w:t>
      </w:r>
      <w:r>
        <w:rPr>
          <w:sz w:val="26"/>
          <w:szCs w:val="26"/>
        </w:rPr>
        <w:t xml:space="preserve">й жилищный фонд поселения характеризуется высоким уровнем инженерного благоустройства  </w:t>
      </w:r>
      <w:r>
        <w:rPr>
          <w:sz w:val="26"/>
          <w:szCs w:val="26"/>
        </w:rPr>
        <w:t xml:space="preserve">система коммуникаций в жилом фонде, построенном в 60-70 годах, сильно изношена и требует реконструкции.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Политика сдерживания роста тарифов на услуги тепло- и водоснабжения требует модернизации этих систем, применения современных способов отопления </w:t>
      </w:r>
      <w:r>
        <w:rPr>
          <w:sz w:val="26"/>
          <w:szCs w:val="26"/>
          <w:highlight w:val="white"/>
        </w:rPr>
        <w:t xml:space="preserve">в  населенных пунктах,</w:t>
      </w:r>
      <w:r>
        <w:rPr>
          <w:sz w:val="26"/>
          <w:szCs w:val="26"/>
        </w:rPr>
        <w:t xml:space="preserve"> при которых схема и система теплоснабжения зданий предусматривает один источник на группу зданий, во избежание необходимости содержания протяженных сетей.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right="0"/>
        <w:rPr>
          <w:b/>
          <w:bCs/>
          <w:i/>
          <w:sz w:val="26"/>
          <w:szCs w:val="26"/>
          <w:lang w:eastAsia="ru-RU"/>
        </w:rPr>
      </w:pP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pStyle w:val="1018"/>
        <w:contextualSpacing/>
        <w:ind w:right="0"/>
        <w:rPr>
          <w:b/>
          <w:bCs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Водоснабжение </w:t>
      </w:r>
      <w:r>
        <w:rPr>
          <w:b/>
          <w:bCs/>
          <w:i/>
          <w:sz w:val="26"/>
          <w:szCs w:val="26"/>
          <w:lang w:eastAsia="ru-RU"/>
        </w:rPr>
      </w:r>
      <w:r>
        <w:rPr>
          <w:b/>
          <w:bCs/>
          <w:i/>
          <w:sz w:val="26"/>
          <w:szCs w:val="26"/>
          <w:lang w:eastAsia="ru-RU"/>
        </w:rPr>
      </w:r>
    </w:p>
    <w:p>
      <w:pPr>
        <w:pStyle w:val="943"/>
        <w:ind w:firstLine="709"/>
        <w:spacing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Основными источниками водоснабжения для хозяйственно-питьевых и производственных нужд с. Усть-Тарка являются подруслов</w:t>
      </w:r>
      <w:r>
        <w:rPr>
          <w:sz w:val="26"/>
          <w:szCs w:val="26"/>
        </w:rPr>
        <w:t xml:space="preserve">ые воды р. Омь, с глубиной залегания 18-25 метров, с невысокой водообильностью и воды меловых отложений покурской свиты, залегающие на глубинах 1040 - 1145 м с очень высокой водообильностью (2 скважины). Водозаборные сооружения инфильтрационного типа распо</w:t>
      </w:r>
      <w:r>
        <w:rPr>
          <w:sz w:val="26"/>
          <w:szCs w:val="26"/>
        </w:rPr>
        <w:t xml:space="preserve">ложены на правом (ул. Кирова) и левом (ул. Гагарина) берегах р. Тарка (приток р. Омь), на землях, принадлежащих Усть-Таркскому сельсовету. Год ввода в эксплуатацию водозаборов – 1986-1987. Проектная мощность сооружений – 31 и 70 м куб/час, соответственно.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43"/>
        <w:ind w:firstLine="709"/>
        <w:spacing w:after="0" w:afterAutospacing="0"/>
        <w:rPr>
          <w:sz w:val="26"/>
          <w:szCs w:val="26"/>
        </w:rPr>
      </w:pPr>
      <w:r>
        <w:rPr>
          <w:sz w:val="26"/>
          <w:szCs w:val="26"/>
          <w:highlight w:val="white"/>
        </w:rPr>
        <w:t xml:space="preserve">В апреле 2023 года в рамках федеральног</w:t>
      </w:r>
      <w:r>
        <w:rPr>
          <w:sz w:val="26"/>
          <w:szCs w:val="26"/>
          <w:highlight w:val="white"/>
        </w:rPr>
        <w:t xml:space="preserve">о проекта "Чистая вода" национального проекта «Жильё и городская среда» построена система водоочистки в с.Усть-Тарка. Построенный комплекс оснащен современным высококачественным оборудованием и состоит из четырех водозаборных скважин, двух модульных станци</w:t>
      </w:r>
      <w:r>
        <w:rPr>
          <w:sz w:val="26"/>
          <w:szCs w:val="26"/>
          <w:highlight w:val="white"/>
        </w:rPr>
        <w:t xml:space="preserve">й водоочистки, существующих резервуаров чистой воды, существующих насосных станций второго подъема, двух резервуаров промывных вод, двух дизельных электростанций. Реализация этого проекта позволит достичь стабильного, качественного состава питьевой воды по</w:t>
      </w:r>
      <w:r>
        <w:rPr>
          <w:sz w:val="26"/>
          <w:szCs w:val="26"/>
          <w:highlight w:val="white"/>
        </w:rPr>
        <w:t xml:space="preserve">даваемой населению с.Усть-Тарка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43"/>
        <w:ind w:firstLine="709"/>
        <w:spacing w:after="0" w:after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840"/>
        <w:jc w:val="left"/>
        <w:spacing w:after="0" w:line="360" w:lineRule="auto"/>
        <w:rPr>
          <w:b/>
          <w:sz w:val="26"/>
          <w:szCs w:val="26"/>
        </w:rPr>
      </w:pPr>
      <w:r>
        <w:rPr>
          <w:sz w:val="24"/>
          <w:szCs w:val="28"/>
        </w:rPr>
        <w:t xml:space="preserve">Таблица  10 </w:t>
      </w:r>
      <w:r>
        <w:rPr>
          <w:b/>
          <w:sz w:val="26"/>
          <w:szCs w:val="26"/>
        </w:rPr>
        <w:t xml:space="preserve">Показатели водопотребления поселения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W w:w="5000" w:type="pct"/>
        <w:tblInd w:w="-128" w:type="dxa"/>
        <w:tblLayout w:type="fixed"/>
        <w:tblLook w:val="04A0" w:firstRow="1" w:lastRow="0" w:firstColumn="1" w:lastColumn="0" w:noHBand="0" w:noVBand="1"/>
      </w:tblPr>
      <w:tblGrid>
        <w:gridCol w:w="577"/>
        <w:gridCol w:w="2808"/>
        <w:gridCol w:w="962"/>
        <w:gridCol w:w="1347"/>
        <w:gridCol w:w="1546"/>
        <w:gridCol w:w="1340"/>
        <w:gridCol w:w="1557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Характеристики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Ед. изм.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0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  <w:lang w:val="en-US"/>
              </w:rPr>
              <w:t xml:space="preserve">I</w:t>
            </w:r>
            <w:r>
              <w:rPr>
                <w:sz w:val="24"/>
                <w:szCs w:val="24"/>
              </w:rPr>
              <w:t xml:space="preserve">-ая очередь </w:t>
            </w:r>
            <w:r/>
          </w:p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(2022 г.)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Расчетный срок </w:t>
            </w:r>
            <w:r/>
          </w:p>
          <w:p>
            <w:pPr>
              <w:jc w:val="center"/>
              <w:tabs>
                <w:tab w:val="left" w:pos="72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(2032 г.)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Среднесу-точный расход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Максималь-ный расход воды в сутки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Среднесу-точный расход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Максималь-ный расход воды в сутки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1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4"/>
                <w:szCs w:val="24"/>
              </w:rPr>
              <w:t xml:space="preserve">7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1" w:type="dxa"/>
            <w:vAlign w:val="center"/>
            <w:textDirection w:val="lrTb"/>
            <w:noWrap w:val="false"/>
          </w:tcPr>
          <w:p>
            <w:pPr>
              <w:tabs>
                <w:tab w:val="left" w:pos="720" w:leader="none"/>
              </w:tabs>
            </w:pPr>
            <w:r>
              <w:rPr>
                <w:sz w:val="22"/>
              </w:rPr>
              <w:t xml:space="preserve">Водопотребление, всего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тыс. куб.м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,</w:t>
            </w:r>
            <w:r>
              <w:rPr>
                <w:sz w:val="26"/>
                <w:szCs w:val="26"/>
                <w:highlight w:val="white"/>
              </w:rPr>
              <w:t xml:space="preserve">72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2,10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1,80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2,33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1" w:type="dxa"/>
            <w:vAlign w:val="center"/>
            <w:textDirection w:val="lrTb"/>
            <w:noWrap w:val="false"/>
          </w:tcPr>
          <w:p>
            <w:pPr>
              <w:tabs>
                <w:tab w:val="left" w:pos="720" w:leader="none"/>
              </w:tabs>
            </w:pPr>
            <w:r>
              <w:rPr>
                <w:sz w:val="22"/>
              </w:rPr>
              <w:t xml:space="preserve">Хозяйственно-питьевые нужды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тыс. куб.м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1,24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1,61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1,38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1,79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1.2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1" w:type="dxa"/>
            <w:vAlign w:val="center"/>
            <w:textDirection w:val="lrTb"/>
            <w:noWrap w:val="false"/>
          </w:tcPr>
          <w:p>
            <w:pPr>
              <w:tabs>
                <w:tab w:val="left" w:pos="720" w:leader="none"/>
              </w:tabs>
            </w:pPr>
            <w:r>
              <w:rPr>
                <w:sz w:val="22"/>
              </w:rPr>
              <w:t xml:space="preserve">Производственные нужды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тыс. куб.м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0,25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0,33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0,28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0,36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1.3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1" w:type="dxa"/>
            <w:vAlign w:val="center"/>
            <w:textDirection w:val="lrTb"/>
            <w:noWrap w:val="false"/>
          </w:tcPr>
          <w:p>
            <w:pPr>
              <w:tabs>
                <w:tab w:val="left" w:pos="720" w:leader="none"/>
              </w:tabs>
            </w:pPr>
            <w:r>
              <w:rPr>
                <w:sz w:val="22"/>
              </w:rPr>
              <w:t xml:space="preserve">Неучтенные расходы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тыс. куб.м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0,12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0,16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0,14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20" w:leader="none"/>
              </w:tabs>
            </w:pPr>
            <w:r>
              <w:rPr>
                <w:sz w:val="22"/>
              </w:rPr>
              <w:t xml:space="preserve">0,18</w:t>
            </w:r>
            <w:r/>
          </w:p>
        </w:tc>
      </w:tr>
    </w:tbl>
    <w:p>
      <w:pPr>
        <w:pStyle w:val="1018"/>
        <w:contextualSpacing/>
        <w:ind w:right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1018"/>
        <w:contextualSpacing/>
        <w:ind w:right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Водоотведение 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contextualSpacing/>
        <w:ind w:firstLine="708"/>
        <w:spacing w:line="240" w:lineRule="auto"/>
        <w:rPr>
          <w:sz w:val="26"/>
          <w:szCs w:val="26"/>
        </w:rPr>
      </w:pPr>
      <w:r>
        <w:rPr>
          <w:rFonts w:eastAsia="Calibri"/>
          <w:color w:val="000000"/>
          <w:sz w:val="26"/>
          <w:szCs w:val="26"/>
          <w:lang w:eastAsia="en-US"/>
        </w:rPr>
        <w:t xml:space="preserve">В Усть-Таркском сельсовете отсутствует центральное водоотведение. </w:t>
      </w:r>
      <w:r>
        <w:rPr>
          <w:sz w:val="26"/>
          <w:szCs w:val="26"/>
        </w:rPr>
        <w:t xml:space="preserve">Сточные воды и фекальные стоки хозяйствен</w:t>
      </w:r>
      <w:r>
        <w:rPr>
          <w:sz w:val="26"/>
          <w:szCs w:val="26"/>
        </w:rPr>
        <w:t xml:space="preserve">но-бытовых нужд неблагоустроенной части усадебной застройки населенных пунктов сбрасываются на рельеф или собираются в выгребные ямы без очистки, что создает опасность загрязнения подземных вод или осуществляются в автономные септики с последующим вывозом.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rPr>
          <w:rFonts w:eastAsia="Calibri"/>
          <w:lang w:eastAsia="ru-RU"/>
        </w:rPr>
      </w:pPr>
      <w:r>
        <w:rPr>
          <w:rFonts w:eastAsia="Calibri"/>
          <w:lang w:eastAsia="ru-RU"/>
        </w:rPr>
      </w:r>
      <w:r>
        <w:rPr>
          <w:rFonts w:eastAsia="Calibri"/>
          <w:lang w:eastAsia="ru-RU"/>
        </w:rPr>
      </w:r>
      <w:r>
        <w:rPr>
          <w:rFonts w:eastAsia="Calibri"/>
          <w:lang w:eastAsia="ru-RU"/>
        </w:rPr>
      </w:r>
    </w:p>
    <w:p>
      <w:pPr>
        <w:pStyle w:val="1018"/>
        <w:contextualSpacing/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1018"/>
        <w:contextualSpacing/>
        <w:ind w:right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Теплоснабжение 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right="102" w:firstLine="567"/>
        <w:spacing w:before="1" w:after="0" w:line="240" w:lineRule="auto"/>
        <w:rPr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  <w:t xml:space="preserve">В настоящее время все источники теплоснабжения и тепловые сети поселения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находятся на балансе администрации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Усть-Таркского района</w:t>
      </w:r>
      <w:r>
        <w:rPr>
          <w:color w:val="000000"/>
          <w:sz w:val="26"/>
          <w:szCs w:val="26"/>
        </w:rPr>
        <w:t xml:space="preserve">. Эксплуатацию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обслуживание источников и тепловых сетей осуществляет одна теплоснабжающая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организация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-</w:t>
      </w:r>
      <w:r>
        <w:rPr>
          <w:color w:val="000000"/>
          <w:spacing w:val="1"/>
          <w:sz w:val="26"/>
          <w:szCs w:val="26"/>
          <w:highlight w:val="white"/>
        </w:rPr>
        <w:t xml:space="preserve"> </w:t>
      </w:r>
      <w:r>
        <w:rPr>
          <w:color w:val="000000"/>
          <w:sz w:val="26"/>
          <w:szCs w:val="26"/>
          <w:highlight w:val="white"/>
        </w:rPr>
        <w:t xml:space="preserve">муниципальное унитарное предприятие «Щербаковское жилищно-коммунальное хозяйство» (далее – МУП «Щербаковское ЖКХ» </w:t>
      </w:r>
      <w:r>
        <w:rPr>
          <w:color w:val="000000"/>
          <w:sz w:val="26"/>
          <w:szCs w:val="26"/>
        </w:rPr>
        <w:t xml:space="preserve">в</w:t>
      </w:r>
      <w:r>
        <w:rPr>
          <w:color w:val="000000"/>
          <w:sz w:val="26"/>
          <w:szCs w:val="26"/>
        </w:rPr>
        <w:t xml:space="preserve">  постоянном-бессрочном пользовании к</w:t>
      </w:r>
      <w:r>
        <w:rPr>
          <w:color w:val="000000"/>
          <w:sz w:val="26"/>
          <w:szCs w:val="26"/>
        </w:rPr>
        <w:t xml:space="preserve">оторого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находятся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3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котельных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села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Усть-Тарка.</w:t>
      </w:r>
      <w:r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</w:t>
      </w:r>
      <w:r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д.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Богословка</w:t>
      </w:r>
      <w:r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централизованное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отопление</w:t>
      </w:r>
      <w:r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отсутствует.</w:t>
      </w:r>
      <w:r>
        <w:rPr>
          <w:szCs w:val="26"/>
        </w:rPr>
      </w:r>
      <w:r>
        <w:rPr>
          <w:szCs w:val="26"/>
        </w:rPr>
      </w:r>
    </w:p>
    <w:p>
      <w:pPr>
        <w:numPr>
          <w:ilvl w:val="0"/>
          <w:numId w:val="36"/>
        </w:numPr>
        <w:spacing w:after="0" w:line="240" w:lineRule="auto"/>
        <w:tabs>
          <w:tab w:val="left" w:pos="1109" w:leader="none"/>
          <w:tab w:val="left" w:pos="1110" w:leader="none"/>
        </w:tabs>
        <w:rPr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  <w:t xml:space="preserve">котельная</w:t>
      </w:r>
      <w:r>
        <w:rPr>
          <w:color w:val="000000"/>
          <w:spacing w:val="-4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№1</w:t>
      </w:r>
      <w:r>
        <w:rPr>
          <w:color w:val="000000"/>
          <w:spacing w:val="-4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(с.</w:t>
      </w:r>
      <w:r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Усть-Тарка, ул.</w:t>
      </w:r>
      <w:r>
        <w:rPr>
          <w:color w:val="000000"/>
          <w:spacing w:val="-4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Иванова,</w:t>
      </w:r>
      <w:r>
        <w:rPr>
          <w:color w:val="000000"/>
          <w:spacing w:val="-3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4);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36"/>
        </w:numPr>
        <w:spacing w:before="142" w:after="0" w:line="240" w:lineRule="auto"/>
        <w:tabs>
          <w:tab w:val="left" w:pos="1109" w:leader="none"/>
          <w:tab w:val="left" w:pos="1110" w:leader="none"/>
        </w:tabs>
        <w:rPr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  <w:t xml:space="preserve">котельная</w:t>
      </w:r>
      <w:r>
        <w:rPr>
          <w:color w:val="000000"/>
          <w:spacing w:val="-4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№2</w:t>
      </w:r>
      <w:r>
        <w:rPr>
          <w:color w:val="000000"/>
          <w:spacing w:val="-4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(с.</w:t>
      </w:r>
      <w:r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Усть-Тарка,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ул.</w:t>
      </w:r>
      <w:r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Гагарина,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1);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36"/>
        </w:numPr>
        <w:spacing w:before="150" w:after="0" w:line="240" w:lineRule="auto"/>
        <w:tabs>
          <w:tab w:val="left" w:pos="1109" w:leader="none"/>
          <w:tab w:val="left" w:pos="1110" w:leader="none"/>
        </w:tabs>
        <w:rPr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  <w:t xml:space="preserve">котельная</w:t>
      </w:r>
      <w:r>
        <w:rPr>
          <w:color w:val="000000"/>
          <w:spacing w:val="-3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№4</w:t>
      </w:r>
      <w:r>
        <w:rPr>
          <w:color w:val="000000"/>
          <w:spacing w:val="-3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(с.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Усть-Тарка,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ул.</w:t>
      </w:r>
      <w:r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Транспортная,</w:t>
      </w:r>
      <w:r>
        <w:rPr>
          <w:color w:val="000000"/>
          <w:spacing w:val="-3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12).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before="4" w:after="0" w:line="240" w:lineRule="auto"/>
        <w:rPr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  <w:t xml:space="preserve">Объектами</w:t>
      </w:r>
      <w:r>
        <w:rPr>
          <w:color w:val="000000"/>
          <w:spacing w:val="49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теплоснабжения</w:t>
      </w:r>
      <w:r>
        <w:rPr>
          <w:color w:val="000000"/>
          <w:spacing w:val="5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котельных</w:t>
      </w:r>
      <w:r>
        <w:rPr>
          <w:color w:val="000000"/>
          <w:spacing w:val="5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являются</w:t>
      </w:r>
      <w:r>
        <w:rPr>
          <w:color w:val="000000"/>
          <w:spacing w:val="5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как</w:t>
      </w:r>
      <w:r>
        <w:rPr>
          <w:color w:val="000000"/>
          <w:spacing w:val="48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жилые</w:t>
      </w:r>
      <w:r>
        <w:rPr>
          <w:color w:val="000000"/>
          <w:spacing w:val="49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дома,</w:t>
      </w:r>
      <w:r>
        <w:rPr>
          <w:color w:val="000000"/>
          <w:spacing w:val="49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так</w:t>
      </w:r>
      <w:r>
        <w:rPr>
          <w:color w:val="000000"/>
          <w:spacing w:val="47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</w:t>
      </w:r>
      <w:r>
        <w:rPr>
          <w:color w:val="000000"/>
          <w:spacing w:val="-6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объекты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социально-бытового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назначения.</w:t>
      </w:r>
      <w:r>
        <w:rPr>
          <w:szCs w:val="26"/>
        </w:rPr>
      </w:r>
      <w:r>
        <w:rPr>
          <w:szCs w:val="26"/>
        </w:rPr>
      </w:r>
    </w:p>
    <w:p>
      <w:pPr>
        <w:pStyle w:val="1018"/>
        <w:contextualSpacing/>
        <w:ind w:right="0"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Все</w:t>
      </w:r>
      <w:r>
        <w:rPr>
          <w:color w:val="000000"/>
          <w:spacing w:val="59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котельные</w:t>
      </w:r>
      <w:r>
        <w:rPr>
          <w:color w:val="000000"/>
          <w:spacing w:val="6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по</w:t>
      </w:r>
      <w:r>
        <w:rPr>
          <w:color w:val="000000"/>
          <w:spacing w:val="6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назначению</w:t>
      </w:r>
      <w:r>
        <w:rPr>
          <w:color w:val="000000"/>
          <w:spacing w:val="6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тепловой</w:t>
      </w:r>
      <w:r>
        <w:rPr>
          <w:color w:val="000000"/>
          <w:spacing w:val="6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нагрузки</w:t>
      </w:r>
      <w:r>
        <w:rPr>
          <w:color w:val="000000"/>
          <w:spacing w:val="6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являются</w:t>
      </w:r>
      <w:r>
        <w:rPr>
          <w:color w:val="000000"/>
          <w:spacing w:val="6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отопительными.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567"/>
        <w:spacing w:before="112" w:after="0" w:line="240" w:lineRule="auto"/>
        <w:rPr>
          <w:color w:val="000000"/>
          <w:sz w:val="26"/>
          <w:szCs w:val="26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  <w:t xml:space="preserve">Все котельные предназначены для выработки тепловой энергии в горячей воде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нужды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отопления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для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социально значимых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объектов и объектов </w:t>
      </w:r>
      <w:r>
        <w:rPr>
          <w:color w:val="000000"/>
          <w:sz w:val="26"/>
          <w:szCs w:val="26"/>
        </w:rPr>
        <w:t xml:space="preserve">жилого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фонда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отопления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  <w:highlight w:val="yellow"/>
        </w:rPr>
      </w:r>
      <w:r>
        <w:rPr>
          <w:color w:val="000000"/>
          <w:sz w:val="26"/>
          <w:szCs w:val="26"/>
          <w:highlight w:val="yellow"/>
        </w:rPr>
      </w:r>
    </w:p>
    <w:p>
      <w:pPr>
        <w:ind w:firstLine="567"/>
        <w:spacing w:before="1" w:after="0" w:line="240" w:lineRule="auto"/>
        <w:rPr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  <w:t xml:space="preserve">Основным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видом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топлива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котельных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является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каменный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уголь,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резервное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топливо</w:t>
      </w:r>
      <w:r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отсутствует.</w:t>
      </w:r>
      <w:r>
        <w:rPr>
          <w:szCs w:val="26"/>
        </w:rPr>
      </w:r>
      <w:r>
        <w:rPr>
          <w:szCs w:val="26"/>
        </w:rPr>
      </w:r>
    </w:p>
    <w:p>
      <w:pPr>
        <w:ind w:firstLine="567"/>
        <w:spacing w:before="1" w:after="0" w:line="240" w:lineRule="auto"/>
        <w:rPr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6"/>
          <w:szCs w:val="26"/>
        </w:rPr>
        <w:t xml:space="preserve">Схема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теплоснабжения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—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двухтрубная,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закрытая.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Регулирование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отпуска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тепловой энергии на котельных — качественное, в соответствии с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утвержденным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температурным графиком 95/70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°С.</w:t>
      </w:r>
      <w:r>
        <w:rPr>
          <w:szCs w:val="26"/>
        </w:rPr>
      </w:r>
      <w:r>
        <w:rPr>
          <w:szCs w:val="26"/>
        </w:rPr>
      </w:r>
    </w:p>
    <w:p>
      <w:pPr>
        <w:pStyle w:val="1018"/>
        <w:contextualSpacing/>
        <w:ind w:right="0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1018"/>
        <w:contextualSpacing/>
        <w:ind w:right="0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1018"/>
        <w:contextualSpacing/>
        <w:ind w:right="0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Электроснабжение 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ind w:firstLine="709"/>
        <w:spacing w:after="12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Территорию с. Усть-Тарка обслуживает подразделение «Усть-Таркский район электрических сетей» филиала «Татарские электрические сети» АО «Региональные электрические сети».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spacing w:after="0" w:line="360" w:lineRule="auto"/>
        <w:rPr>
          <w:b/>
          <w:sz w:val="26"/>
          <w:szCs w:val="26"/>
        </w:rPr>
      </w:pPr>
      <w:r>
        <w:rPr>
          <w:sz w:val="26"/>
          <w:szCs w:val="26"/>
        </w:rPr>
        <w:t xml:space="preserve">Таблица 11</w:t>
      </w:r>
      <w:r>
        <w:rPr>
          <w:b/>
          <w:sz w:val="26"/>
          <w:szCs w:val="26"/>
        </w:rPr>
        <w:t xml:space="preserve"> Показатели по электроэнергии поселения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>
        <w:trPr/>
        <w:tc>
          <w:tcPr>
            <w:tcW w:w="318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Показатели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Единица измерения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Количество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rPr/>
        <w:tc>
          <w:tcPr>
            <w:tcW w:w="3189" w:type="dxa"/>
            <w:textDirection w:val="lrTb"/>
            <w:noWrap w:val="false"/>
          </w:tcPr>
          <w:p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Потребляемая энергия всего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млн. кВт* ч/год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2"/>
              </w:rPr>
              <w:t xml:space="preserve">9,64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gridSpan w:val="3"/>
            <w:tcW w:w="9570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том числе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189" w:type="dxa"/>
            <w:textDirection w:val="lrTb"/>
            <w:noWrap w:val="false"/>
          </w:tcPr>
          <w:p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производственные </w:t>
            </w:r>
            <w:r>
              <w:rPr>
                <w:sz w:val="26"/>
                <w:szCs w:val="26"/>
              </w:rPr>
              <w:t xml:space="preserve">нужды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млн. кВт* ч/год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2"/>
              </w:rPr>
              <w:t xml:space="preserve">4,92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189" w:type="dxa"/>
            <w:textDirection w:val="lrTb"/>
            <w:noWrap w:val="false"/>
          </w:tcPr>
          <w:p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коммунально-бытовые нужды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млн. кВт* ч/год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2"/>
              </w:rPr>
              <w:t xml:space="preserve">4,10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1018"/>
        <w:contextualSpacing/>
        <w:ind w:righ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1018"/>
        <w:contextualSpacing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Санитарная очистка У-Т</w:t>
      </w:r>
      <w:r>
        <w:rPr>
          <w:b/>
          <w:i/>
          <w:sz w:val="26"/>
          <w:szCs w:val="26"/>
          <w:lang w:eastAsia="ru-RU"/>
        </w:rPr>
      </w:r>
      <w:r>
        <w:rPr>
          <w:b/>
          <w:i/>
          <w:sz w:val="26"/>
          <w:szCs w:val="26"/>
          <w:lang w:eastAsia="ru-RU"/>
        </w:rPr>
      </w:r>
    </w:p>
    <w:p>
      <w:pPr>
        <w:pStyle w:val="1018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Со</w:t>
      </w:r>
      <w:r>
        <w:rPr>
          <w:sz w:val="26"/>
          <w:szCs w:val="26"/>
        </w:rPr>
        <w:t xml:space="preserve">гласно положениям генерального плана с.Усть-Тарка в с. Усть-Тарка предусматриваются мусоросборные (контейнерные) площадки с подъездными путями, позволяющие в любое время года обеспечивать проезд собирающих мусоровозов и разгрузку мусоросборных контейнеров.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rPr>
          <w:b/>
          <w:bCs/>
          <w:i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Газификация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1018"/>
        <w:contextualSpacing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1018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Согласно Постановлению №144-п от</w:t>
      </w:r>
      <w:r>
        <w:rPr>
          <w:sz w:val="26"/>
          <w:szCs w:val="26"/>
        </w:rPr>
        <w:t xml:space="preserve"> 30.03.2022г «Об утверждении региональной программы газификации жилищно-коммунального хозяйства, промышленных и иных организация на территории Новосибирской области» Усть-Таркский сельсовет входит в список расположения перспективных объектов газоснабжения.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contextualSpacing/>
        <w:ind w:firstLine="709"/>
        <w:spacing w:after="0" w:line="24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Организация ритуальных услуг У-Т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1018"/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1018"/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 территории сельсовета расположено три кладбища, два из которых действующие.</w:t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1018"/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1018"/>
        <w:numPr>
          <w:ilvl w:val="1"/>
          <w:numId w:val="10"/>
        </w:numPr>
        <w:contextualSpacing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Охрана окружающей среды У-Т</w:t>
      </w:r>
      <w:r>
        <w:rPr>
          <w:b/>
          <w:sz w:val="26"/>
          <w:szCs w:val="26"/>
          <w:lang w:eastAsia="ru-RU"/>
        </w:rPr>
      </w:r>
      <w:r>
        <w:rPr>
          <w:b/>
          <w:sz w:val="26"/>
          <w:szCs w:val="26"/>
          <w:lang w:eastAsia="ru-RU"/>
        </w:rPr>
      </w:r>
    </w:p>
    <w:p>
      <w:pPr>
        <w:contextualSpacing/>
        <w:ind w:left="568" w:firstLine="284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Основными мероприятиями по охране окружающей среды и поддержанию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благоприятной санитарно-эпидемиологической обстановки в условиях градостроительного развития сельсовета является установление зон с особыми условиями использования территории.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568" w:firstLine="284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Наличие тех или иных зон с особыми условиями использования определяет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систему градостроительных ограничений территории, от которых во многом  зависят планировочная структура населенных пунктов, условия развития селитебных территорий или промышленных зон.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ind w:left="1234" w:firstLine="0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</w:r>
      <w:r>
        <w:rPr>
          <w:b/>
          <w:sz w:val="26"/>
          <w:szCs w:val="26"/>
          <w:lang w:eastAsia="ru-RU"/>
        </w:rPr>
      </w:r>
      <w:r>
        <w:rPr>
          <w:b/>
          <w:sz w:val="26"/>
          <w:szCs w:val="26"/>
          <w:lang w:eastAsia="ru-RU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/>
      <w:bookmarkStart w:id="13" w:name="_Toc118276406"/>
      <w:r>
        <w:rPr>
          <w:b/>
          <w:sz w:val="26"/>
          <w:szCs w:val="26"/>
        </w:rPr>
        <w:t xml:space="preserve">3.12 Зоны с особыми условиями использования</w:t>
      </w:r>
      <w:bookmarkEnd w:id="13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ст. 104 Земельного кодекса Российской Федерации (ЗК РФ) зоны с особыми условиями использования территорий устанавливаются в следующих целях: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1) защита жизни и здоровья граждан;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2) безопасная эксплуатация объектов транспорта, связи, энергетики, объектов обороны страны и безопасности государства;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3) обеспечение сохранности объектов культурного наследия;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4) охрана окружающей с</w:t>
      </w:r>
      <w:r>
        <w:rPr>
          <w:sz w:val="26"/>
          <w:szCs w:val="26"/>
        </w:rPr>
        <w:t xml:space="preserve">реды, в том числе защита и сохранение природных лечебных ресурсов, предотвращение загрязнения, засорения, заиления водных объектов и истощения их вод, сохранение среды обитания водных биологических ресурсов и других объектов животного и растительного мира;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5) обеспечение обороны страны и безопасности государства.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Виды зон с особыми условиями использования территории представлены в ст. 105 ЗК РФ.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 границах зон с особыми условиями использования территорий устанавливаются ограничения использования земельных участков, которые распространяются на все, что находится над и под поверхностью земель, если иное не предусмотрено действующим законодательством.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границах зон с особыми условиями использования территорий ограничивают или запрещают размещение и использование распо</w:t>
      </w:r>
      <w:r>
        <w:rPr>
          <w:sz w:val="26"/>
          <w:szCs w:val="26"/>
        </w:rPr>
        <w:t xml:space="preserve">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деятельности, которые несовместимы с целями установления зон с особыми условиями использования территорий.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Охранные зоны объектов электроэнергетики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Порядок установления охранных зон объектов электросетевого хозяйства, а также особые условия использования земельных участков, расположенных в пределах охранных зон, обеспечивающих безопасное функционирование и эксплуатацию указанных объекто</w:t>
      </w:r>
      <w:r>
        <w:rPr>
          <w:sz w:val="26"/>
          <w:szCs w:val="26"/>
        </w:rPr>
        <w:t xml:space="preserve">в, определяют «Правила установления охранных зон объектов электросетевого хозяйства и особые условия использования земельных участков, расположенных в границах таких зон», утвержденные постановлением Правительства Российской Федерации от 24.02.2009 № 160.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Охранные зоны устанавливаются: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вдоль воздушных линий электропередачи – в виде части поверхности участка земли и воздушного пространства (на высоту, соответствующую высоте опор воздушных линий электропередачи), ограниченной параллельными верт</w:t>
      </w:r>
      <w:r>
        <w:rPr>
          <w:sz w:val="26"/>
          <w:szCs w:val="26"/>
        </w:rPr>
        <w:t xml:space="preserve">икальными плоскостями, отстоящими по обе стороны линии электропередачи от крайних проводов при не отклонённом их положении на следующем расстоянии: до 1 кВ – 2 м, 1-20 кВ – 10 м, 35 кВ – 15 м, 110 кВ – 20 м, 150 и 220 кВ – 25 м, 300, 500, +/-400 кВ – 30 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вдоль подземн</w:t>
      </w:r>
      <w:r>
        <w:rPr>
          <w:sz w:val="26"/>
          <w:szCs w:val="26"/>
        </w:rPr>
        <w:t xml:space="preserve">ых кабельных линий электропередачи – в виде части поверхности участка земли, расположенного под ней участка недр (на глубину, соответствующую глубине прокладки кабельных линий электропередачи), ограниченной параллельными вертикальными плоскостями, отстоящи</w:t>
      </w:r>
      <w:r>
        <w:rPr>
          <w:sz w:val="26"/>
          <w:szCs w:val="26"/>
        </w:rPr>
        <w:t xml:space="preserve">ми по обе стороны линии электропередачи от крайних кабелей на расстоянии 1 метра (при прохождении кабельных линий напряжением до 1 киловольта в городах под тротуарами – на 0,6 метра в сторону зданий и сооружений и на 1 метр в сторону проезжей части улицы);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вдоль подводных кабельных линий электропередачи – в виде водного пространства от водной поверхности до дна, ограниченного вертикальными плоскостями, отстоящими по обе стороны линии от крайних кабелей на расстоянии 100 метров;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вдоль переходов воздушных линий элек</w:t>
      </w:r>
      <w:r>
        <w:rPr>
          <w:sz w:val="26"/>
          <w:szCs w:val="26"/>
        </w:rPr>
        <w:t xml:space="preserve">тропередачи через водоемы (реки, каналы, озера и др.) – в виде воздушного пространства над водной поверхностью водоемов (на высоту, соответствующую высоте опор воздушных линий электропередачи), ограниченного вертикальными плоскостями, отстоящими по обе сто</w:t>
      </w:r>
      <w:r>
        <w:rPr>
          <w:sz w:val="26"/>
          <w:szCs w:val="26"/>
        </w:rPr>
        <w:t xml:space="preserve">роны линии электропередачи от крайних проводов при не отклоненном их положении для судоходных водоемов на расстоянии 100 метров, для несудоходных водоемов – на расстоянии, предусмотренном для установления охранных зон вдоль воздушных линий электропередачи;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вокруг подстанций – в виде части поверхности участка земли и воздушного пространства (на высоту, соответствующую высоте наивысшей точки подстанции), ограниченной вертикальными плоскостями, отстоящими от всех сторон ограждения подстанции по периметру.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карте «Карта функциональных зон Усть-Таркского сельсовета Усть-Таркского района Новосибирской области», совмещенная с картой зон с особыми условиями использования территории» отображены охранные зоны объектов электроэнергетики.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сведениям Из ЕГРН в настоящее время на территории поселения установлены следующие охранные зоны объектов электросетевого хозяйства: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Таблица 12</w:t>
      </w:r>
      <w:r>
        <w:t xml:space="preserve"> - </w:t>
      </w:r>
      <w:r>
        <w:rPr>
          <w:sz w:val="26"/>
          <w:szCs w:val="26"/>
        </w:rPr>
        <w:t xml:space="preserve">Охранные зоны объектов электросетевого хозяйства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947"/>
        <w:tblW w:w="0" w:type="auto"/>
        <w:tblLook w:val="04A0" w:firstRow="1" w:lastRow="0" w:firstColumn="1" w:lastColumn="0" w:noHBand="0" w:noVBand="1"/>
      </w:tblPr>
      <w:tblGrid>
        <w:gridCol w:w="817"/>
        <w:gridCol w:w="5812"/>
        <w:gridCol w:w="3508"/>
      </w:tblGrid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№пп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Название охранной зоны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Реестровый номер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ВЛ-10 кВ Ф4 ПС Усть-Таркская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54:26-6.709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ВЛ-10кВ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8f9fa"/>
              </w:rPr>
              <w:t xml:space="preserve">54:26-6.849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54:26-6.851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54:26-6.859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8f9fa"/>
              </w:rPr>
              <w:t xml:space="preserve">54:26-6.860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8f9fa"/>
              </w:rPr>
              <w:t xml:space="preserve">54:26-6.862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54:26-6.861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Охранная зона ВЛ-0,4 кВ  </w:t>
            </w:r>
            <w:r>
              <w:rPr>
                <w:sz w:val="26"/>
                <w:szCs w:val="26"/>
                <w:shd w:val="clear" w:color="auto" w:fill="ffffff"/>
              </w:rPr>
            </w:r>
            <w:r>
              <w:rPr>
                <w:sz w:val="26"/>
                <w:szCs w:val="26"/>
                <w:shd w:val="clear" w:color="auto" w:fill="ffffff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  <w:shd w:val="clear" w:color="auto" w:fill="f8f9fa"/>
              </w:rPr>
            </w:pPr>
            <w:r>
              <w:rPr>
                <w:sz w:val="26"/>
                <w:szCs w:val="26"/>
                <w:shd w:val="clear" w:color="auto" w:fill="f8f9fa"/>
              </w:rPr>
              <w:t xml:space="preserve">54:26-6.865</w:t>
            </w:r>
            <w:r>
              <w:rPr>
                <w:sz w:val="26"/>
                <w:szCs w:val="26"/>
                <w:shd w:val="clear" w:color="auto" w:fill="f8f9fa"/>
              </w:rPr>
            </w:r>
            <w:r>
              <w:rPr>
                <w:sz w:val="26"/>
                <w:szCs w:val="26"/>
                <w:shd w:val="clear" w:color="auto" w:fill="f8f9fa"/>
              </w:rPr>
            </w:r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54:26-6.869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10</w:t>
            </w:r>
            <w:r>
              <w:rPr>
                <w:sz w:val="26"/>
                <w:szCs w:val="26"/>
                <w:highlight w:val="yellow"/>
              </w:rPr>
            </w:r>
            <w:r>
              <w:rPr>
                <w:sz w:val="26"/>
                <w:szCs w:val="26"/>
                <w:highlight w:val="yellow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color w:val="000000"/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color w:val="000000"/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54:26-6.871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11</w:t>
            </w:r>
            <w:r>
              <w:rPr>
                <w:sz w:val="26"/>
                <w:szCs w:val="26"/>
                <w:highlight w:val="yellow"/>
              </w:rPr>
            </w:r>
            <w:r>
              <w:rPr>
                <w:sz w:val="26"/>
                <w:szCs w:val="26"/>
                <w:highlight w:val="yellow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color w:val="000000"/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54:26-6.875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ВЛ-10кВ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54:26-6.876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23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54:26-6.878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54:26-6.883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 ф1 оп.1- оп.15 ТП-10/0,4 кВ УТ-140 с.Усть-Тарка. ул.Молодежная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54:26-6.904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 ф2 оп.3- оп.16 ТП-10/0,4 кВ УТ-140 с.Усть-Тарка. ул.Молодежная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54:26-6.905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ВЛ-10 кВ Ф2 ПС Усть-Таркская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54:26-6.36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ВЛ-10кВ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54:26-6.853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54:26-6.854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54:26-6.857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54:26-6.867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46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54:26-6.873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54:26-6.879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54:26-6.880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54:26-6.881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КЛ-0,4 кВ ф2 ТП-10/0,4 кВ УТ-138 с. Усть-Тарка, ул.Дзержинского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54:26-6.907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54:26-6.855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 ф4 оп.1-оп.7 УТ-123, с. Усть-Тарка, ул. Транспортная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54:26-6.546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54:26-6.850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 ф 1 оп.6-оп.8 ТП-10/0,4 кВ УТ-103 с.Усть-Тарка. ул.Транспортная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54:26-6.902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ВЛ-10 кВ Ф9 ПС Усть-Таркская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54:26-6.49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884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хозяйства" ВЛ 110 кВ Татарск-Усть-Тарка с отпайкой на Лопатино. ТУ 2"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"линия электропередачи ВЛ-35 кВ 3584 Усть-Тарка-Увальск"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54:26-6.29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"ВЛ-35 КВ с. Усть-Тарка-Казачий Мыс"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"ВЛ-35 кВ Усть-Тарка-Еланка"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54:26-6.14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"ВЛ-35 кв. с. Усть-Тарка - с. Малинино"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54:26-6.25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"ВЛ-10КВ ф1 ПС Усть-Тарка"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54:26-6.17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"ВЛ-10 кВ Ф10 ПС Усть Таркская"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54:26-6.46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54:26-6.856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54:26-6.863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54:26-6.877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КЛ-0.4 кВ УТ-129 с Усть-Тарка. ул. Дзержинского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54:26-6.908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ВЛ-0,4 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54:26-6.882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54:26-6.868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 110 кВ Татарск-Усть-Тарка с отпайкой на Лопатино. ТУ 2"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54:26-6.11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 110 кВ Татарск-Усть-Тарка ТУ 1"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54:26-6.33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объекта электросетевого хозяйства "ВЛ-10КВ ф3 ПС Усть-Тарка"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54:26-6.21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"ВЛ-10 кВ Ф8 ПС Усть Таркская"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54:26-6.47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ВЛ-10 кВ Ф5 ПС Усть-Таркская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54:26-6.43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ВЛ-0.4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54:26-6.872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"ВЛ-0,4КВ с.Богословка УТ-16 ф1 телятник"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54:26-6.453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"ВЛ-0,4кВ с.Богословка УТ-1 ф4 АЗС"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54:26-6.381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ВЛ-0,4кВ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54:26-6.866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"ВЛ-0,4КВ с.Богословка УТ-86 ф2 РТМ"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54:26-6.682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"ВЛ-0,4КВ с.Камышево ОС-14 ф1"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54:26-6.554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"ВЛ-0,4кВ с.Богословка УТ-14 ф2 контора"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54:26-6.685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"ВЛ-0,4КВ с.Богословка УТ-14 ф1 школа"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54:26-6.634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"ВЛ-0,4КВ с.Богословка УТ-86 ф1 гараж"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54:26-6.568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"ВЛ-0,4КВ с.Богословка УТ-13 ф1 улица"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54:26-6.366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"ВЛ-0,4КВ с.Богословка УТ-87 ф1 п.рама"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54:26-6.688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объекта электросетевого хозяйства "ВЛ-0,4КВ с.Богословка УТ-14 ф3"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54:26-6.434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38"/>
        <w:contextualSpacing/>
        <w:ind w:firstLine="709"/>
        <w:spacing w:after="0" w:line="240" w:lineRule="auto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Придорожные полосы автомобильных дорог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Придорожные полосы автомобильных дорог – территории, которые прилегают с обеих сторон к полосе отвода автомобильной дороги и в границах которой устанавливается особый режим испо</w:t>
      </w:r>
      <w:r>
        <w:rPr>
          <w:sz w:val="26"/>
          <w:szCs w:val="26"/>
        </w:rPr>
        <w:t xml:space="preserve">льзования земельных участков в целях обеспечения требований безопасности дорожного движения, а также нормальных условий реконструкции, капитального ремонта, содержания автомобильной дороги, её сохранности с учётом перспектив развития автомобильной дороги.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</w:t>
      </w:r>
      <w:r>
        <w:rPr>
          <w:sz w:val="26"/>
          <w:szCs w:val="26"/>
        </w:rPr>
        <w:t xml:space="preserve">Федерации» придорожные полосы устанавливаются для автомобильных дорог (за исключением автомобильных дорог, расположенных в границах населённых пунктов) в зависимости от класса и (или) категории автомобильных дорог с учётом перспектив их развития в размере: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75 метров для автомобильных дорог первой и второй категорий;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50 метров для автомобильных дорог третьей и четвёртой категории;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25 метров для автомобильных дорог пятой категории;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100 метров для подъездных дорог, соединяющих административные центры (столицы) субъектов Российской Фед</w:t>
      </w:r>
      <w:r>
        <w:rPr>
          <w:sz w:val="26"/>
          <w:szCs w:val="26"/>
        </w:rPr>
        <w:t xml:space="preserve">ерации, города федерального значения Москву и Санкт-Петербург с другими населёнными пунктами, а также для участков автомобильных дорог общего пользования федерального значения, построенных для объездов городов с численностью населения до 250 тысяч человек;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150 метров для участков автомобильных дорог, построенных для объездов городов с численностью населения свыше 250 тысяч человек.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Охранные зоны линий и сооружений связи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Охранные зоны линий и сооружени</w:t>
      </w:r>
      <w:r>
        <w:rPr>
          <w:sz w:val="26"/>
          <w:szCs w:val="26"/>
        </w:rPr>
        <w:t xml:space="preserve">й связи установлены в соответствии с требованиями Федерального закона от 07.07.2003 № 126-ФЗ «О связи» и «Правилами охраны линий и сооружений связи Российской Федерации», утвержденными постановлением Правительства Российской Федерации от 09.06.1995 № 578.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Таблица 13-Охранные зоны объектов </w:t>
      </w:r>
      <w:r>
        <w:rPr>
          <w:rFonts w:eastAsia="Liberation Sans"/>
          <w:color w:val="000000"/>
          <w:sz w:val="26"/>
          <w:szCs w:val="26"/>
        </w:rPr>
        <w:t xml:space="preserve">волоконно-оптической линии связи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947"/>
        <w:tblW w:w="0" w:type="auto"/>
        <w:tblLook w:val="04A0" w:firstRow="1" w:lastRow="0" w:firstColumn="1" w:lastColumn="0" w:noHBand="0" w:noVBand="1"/>
      </w:tblPr>
      <w:tblGrid>
        <w:gridCol w:w="817"/>
        <w:gridCol w:w="5812"/>
        <w:gridCol w:w="3508"/>
      </w:tblGrid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№пп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Название охранной зоны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Реестровый номер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волоконно-оптической линии связи «ВОЛС Омск-Усть-Тарка-Татарск» в Усть-</w:t>
            </w:r>
            <w:r>
              <w:rPr>
                <w:rFonts w:eastAsia="Liberation Sans"/>
                <w:color w:val="000000"/>
                <w:sz w:val="26"/>
                <w:szCs w:val="26"/>
              </w:rPr>
              <w:t xml:space="preserve">Таркском районе Новосибирской области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"Строительство волоконно-оптической линии передачи (ВОЛП) Омск - Новосибирск"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54:26-6.24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"Строительство волоконно-оптической линии передачи (ВОЛП) Омск - Новосибирск"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54:26-6.44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Охранная зона "ВОЛС на участке в Усть-Таркском муниципальном районе,РМ – УД ЛПУ ГБУЗ НСО "Усть-Таркская ЦРБ"(Туберкулезное отделение), с. Усть-Тарка, ул. Дзержинского, д. 18а, в рамках проекта подключение больниц и поликлиник к скоростному интернету"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54:26-6.207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Охранная зона " Строительство ВОЛС по проекту «Устранение цифрового неравенства» для нужд Новосибирского филиала ПАО «Ростелеком» м.р. Усть-Таркский"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54:26-6.27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Строительство ВОЛС СЛ 7211-с.Щербаки, Татарский ЦТ Усть-Тарка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54:26-6.890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Строительство ВОЛС РМ4-АТС с. Богословка, Усть-Таркский район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54:26-6.894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Новосибирская область, Усть-Таркский район, МО Камышевского сельсовета, МО Усть-Таркского сельсовета, д. Богословка, охранная зона ЛКС ВОЛС «Новосибирск-Омск» (183390+/-120 кв.м.)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sz w:val="26"/>
                <w:szCs w:val="26"/>
              </w:rPr>
            </w:pPr>
            <w:r>
              <w:rPr>
                <w:rFonts w:eastAsia="Liberation Sans"/>
                <w:color w:val="000000"/>
                <w:sz w:val="26"/>
                <w:szCs w:val="26"/>
              </w:rPr>
              <w:t xml:space="preserve">54:26-6.22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Охранные зоны установлены для обеспечения сохранности действующих кабельных, радиорелейных и воздушных линий связи и линий радиофикации, а также с</w:t>
      </w:r>
      <w:r>
        <w:rPr>
          <w:sz w:val="26"/>
          <w:szCs w:val="26"/>
        </w:rPr>
        <w:t xml:space="preserve">ооружений связи, повреждение которых нарушает нормальную работу взаимоувязанной сети связи Российской Федерации, наносит ущерб интересам граждан, производственной деятельности хозяйствующих субъектов, обороноспособности и безопасности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трассах кабельных и воздушных линий связи и линий радиофикации: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устанавливаются охранные зоны с особыми условиями использования: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а) для подземных кабельных и для воздушных линий связи и линий радиофикации, расположенных вне населенных пункто</w:t>
      </w:r>
      <w:r>
        <w:rPr>
          <w:sz w:val="26"/>
          <w:szCs w:val="26"/>
        </w:rPr>
        <w:t xml:space="preserve">в на безлесных участках, в виде участков земли вдоль этих линий, определяемых параллельными прямыми, отстоящими от трассы подземного кабеля связи или от крайних проводов воздушных линий связи и линий радиофикации не менее чем на 2,0 метра с каждой стороны;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б) для наземных и подземных необслуживаемых усилительных и регенерационных пунктов </w:t>
      </w:r>
      <w:r>
        <w:rPr>
          <w:sz w:val="26"/>
          <w:szCs w:val="26"/>
        </w:rPr>
        <w:t xml:space="preserve">на кабельных линиях связи в виде участков земли, определяемых замкнутой линией, отстоящей от центра установки усилительных и регенерационных пунктов или от границы их обвалования не менее чем на 3,0 метра и от контуров заземления не менее чем на 2,0 метра;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создаются просеки в лесных массивах и зеленых насаждениях: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а) при высоте насаждений менее 4,0 метров – шириной не менее расстояния между крайними проводами воздушных линий связи и линий радиофикации плюс 4 метра (по 2,0 метра с каждой стороны от крайних проводов до ветвей деревьев);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б) при высоте насаждений более 4,0 метров – шириной не менее расстояния между крайними проводами воздушных линий связи и линий радиофикации плюс 6 метров (по 3,0 метра с каждой стороны от крайних проводов до ветвей деревьев);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в) вдоль трассы кабеля связи – шириной не менее 6,0 метров (по 3,0 метра с каждой стороны от кабеля связи);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все работы в охранных зонах линий и сооружений связи, линий и сооружений радиофикации выполняются с соблюдением действующих нормативных документов по правилам производства и приемки работ.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карте «Карта функциональных зон Усть-Таркского сельсовета Усть-Таркского района Новосибирской области», совмещенная с картой зон с особыми условиями использования территории» отображены охранные зоны линий и сооружений связи.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Охранная зона стационарных пунктов наблюдений за состоянием окружающей среды, ее загрязнением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</w:t>
      </w:r>
      <w:r>
        <w:rPr>
          <w:sz w:val="26"/>
          <w:szCs w:val="26"/>
        </w:rPr>
        <w:t xml:space="preserve">оном Российской Федерации от 19.07.1998 № 113-ФЗ «О гидрометеорологической службе» и постановлением Правительства Российской Федерации от 27.08.1999 № 972 «Об утверждении положения о создании охранных зон стационарных пунктов наблюдений за состоянием окруж</w:t>
      </w:r>
      <w:r>
        <w:rPr>
          <w:sz w:val="26"/>
          <w:szCs w:val="26"/>
        </w:rPr>
        <w:t xml:space="preserve">ающей природной среды, ее загрязнением» в целях получения достоверной информации о состоянии окружающей природной среды, ее загрязнении, вокруг стационарных пунктов наблюдений создаются охранные зоны в виде земельных участков и частей акваторий, ограниченн</w:t>
      </w:r>
      <w:r>
        <w:rPr>
          <w:sz w:val="26"/>
          <w:szCs w:val="26"/>
        </w:rPr>
        <w:t xml:space="preserve">ых на плане местности замкнутой линией, отстоящей от границ этих пунктов на расстоянии, как правило, 200 метров во все стороны. Размеры и границы охранных зон стационарных пунктов наблюдений определяются в зависимости от рельефа местности и других условий.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Таблица 13 - </w:t>
      </w:r>
      <w:r>
        <w:rPr>
          <w:sz w:val="26"/>
          <w:szCs w:val="26"/>
        </w:rPr>
        <w:t xml:space="preserve">Зона стационарных пунктов наблюдений за состоянием окружающей среды, ее загрязнением</w:t>
      </w:r>
      <w:r>
        <w:rPr>
          <w:color w:val="000000" w:themeColor="text1"/>
          <w:sz w:val="26"/>
          <w:szCs w:val="26"/>
        </w:rPr>
        <w:t xml:space="preserve">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tbl>
      <w:tblPr>
        <w:tblStyle w:val="947"/>
        <w:tblW w:w="0" w:type="auto"/>
        <w:tblLook w:val="04A0" w:firstRow="1" w:lastRow="0" w:firstColumn="1" w:lastColumn="0" w:noHBand="0" w:noVBand="1"/>
      </w:tblPr>
      <w:tblGrid>
        <w:gridCol w:w="817"/>
        <w:gridCol w:w="5812"/>
        <w:gridCol w:w="3508"/>
      </w:tblGrid>
      <w:tr>
        <w:trPr/>
        <w:tc>
          <w:tcPr>
            <w:tcW w:w="817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№пп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Название охранной зоны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508" w:type="dxa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Реестровый номер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938"/>
              <w:contextualSpacing/>
              <w:spacing w:after="0" w:line="240" w:lineRule="auto"/>
              <w:tabs>
                <w:tab w:val="left" w:pos="993" w:leader="none"/>
              </w:tabs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  <w:highlight w:val="yellow"/>
              </w:rPr>
            </w:r>
            <w:r>
              <w:rPr>
                <w:sz w:val="26"/>
                <w:szCs w:val="26"/>
                <w:highlight w:val="yellow"/>
              </w:rPr>
            </w:r>
          </w:p>
        </w:tc>
        <w:tc>
          <w:tcPr>
            <w:tcW w:w="5812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 xml:space="preserve">Охранная зона "Стационарный пункт наблюдений метеорологическая станция второго разряда Усть-Тарка" (М-II Усть-Тарка)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</w:tc>
        <w:tc>
          <w:tcPr>
            <w:tcW w:w="3508" w:type="dxa"/>
            <w:vMerge w:val="restart"/>
            <w:textDirection w:val="lrTb"/>
            <w:noWrap w:val="false"/>
          </w:tcPr>
          <w:p>
            <w:pPr>
              <w:spacing w:after="0" w:line="57" w:lineRule="atLeast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 xml:space="preserve">54:26-6.929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</w:tc>
      </w:tr>
    </w:tbl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Водоохранная зона и прибрежная защитная полоса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Водным кодексом Российской Федерации от 03.06.2006 № 74-ФЗ водоохранными зонами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</w:t>
      </w:r>
      <w:r>
        <w:rPr>
          <w:sz w:val="26"/>
          <w:szCs w:val="26"/>
        </w:rPr>
        <w:t xml:space="preserve">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Ширина водоохранной зоны рек или ручьев устанавливается от их истока для рек или ручьев протяженностью: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1) до десяти километров – в размере пятидесяти метров;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2) от десяти до пятидесяти километров – в размере ста метров;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3) от пятидесяти километров и более – в размере двухсот метров.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Для реки, ручья протяженностью менее десяти километров от истока до устья водоохранная зона совпадает с прибрежной защитной полосой. Радиус водоохранной зоны для истоков реки, ручья устанавливается в размере пятидесяти метров.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Ширина водоохранной зоны озера, водохранилища, за исключением озера, расположенного внутри болота, или озера, водохранилища с акваторией менее 0,5 квадратного километра, устанавливается в размере пятидесяти метров.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Водоохранные зоны магистральных или межхозяйственных каналов совпадают по ширине с полосами отводов таких каналов.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уклона, сорок метров для уклона до трех градусов и пятьдесят метров для уклона три и более градуса.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Ширина прибр</w:t>
      </w:r>
      <w:r>
        <w:rPr>
          <w:sz w:val="26"/>
          <w:szCs w:val="26"/>
        </w:rPr>
        <w:t xml:space="preserve">ежной защитной полосы реки, озера, водохранилища, имеющих особо ценное рыбохозяйственное значение (места нереста, нагула, зимовки рыб и других водных биологических ресурсов), устанавливается в размере двухсот метров независимо от уклона прилегающих земель.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ст. 6 Водного кодекса Российской Ф</w:t>
      </w:r>
      <w:r>
        <w:rPr>
          <w:sz w:val="26"/>
          <w:szCs w:val="26"/>
        </w:rPr>
        <w:t xml:space="preserve">едерации полоса земли вдоль береговой линии водного объекта общего пользования (береговая полоса) предназначается для общего пользования. Ширина береговой полосы водных объектов общего пользования составляет двадцать метров, за исключением береговой полосы</w:t>
      </w:r>
      <w:r>
        <w:rPr>
          <w:sz w:val="26"/>
          <w:szCs w:val="26"/>
        </w:rPr>
        <w:t xml:space="preserve"> каналов, а также рек и ручьев, протяженность которых от истока до устья не более чем десять километров. Ширина береговой полосы каналов, а также рек и ручьев, протяженность которых от истока до устья не более чем десять километров, составляет пять метров.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территориях населённых пунктов при отсутствии набережной ширина водоохранной зоны, прибрежной защитной полосы измеряется от местоположения береговой линии (границы водного объекта).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таблице 14 представлен  размер водоохранных зон и прибрежных полос рек Усть-Таркского сельсовета Усть-Таркского района Новосибирской области.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Таблица 14 – Размер водоохранных зон и прибрежных полос рек Усть-Таркского сельсовета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037"/>
        <w:tblW w:w="10206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25"/>
        <w:gridCol w:w="2889"/>
        <w:gridCol w:w="3483"/>
      </w:tblGrid>
      <w:tr>
        <w:trPr>
          <w:trHeight w:val="551"/>
        </w:trPr>
        <w:tc>
          <w:tcPr>
            <w:tcW w:w="709" w:type="dxa"/>
            <w:textDirection w:val="lrTb"/>
            <w:noWrap w:val="false"/>
          </w:tcPr>
          <w:p>
            <w:pPr>
              <w:pStyle w:val="1038"/>
              <w:contextualSpacing/>
              <w:ind w:left="107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№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  <w:p>
            <w:pPr>
              <w:pStyle w:val="1038"/>
              <w:contextualSpacing/>
              <w:ind w:left="107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п/п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3125" w:type="dxa"/>
            <w:textDirection w:val="lrTb"/>
            <w:noWrap w:val="false"/>
          </w:tcPr>
          <w:p>
            <w:pPr>
              <w:pStyle w:val="1038"/>
              <w:contextualSpacing/>
              <w:ind w:left="108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Название водного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  <w:p>
            <w:pPr>
              <w:pStyle w:val="1038"/>
              <w:contextualSpacing/>
              <w:ind w:left="108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объекта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2889" w:type="dxa"/>
            <w:textDirection w:val="lrTb"/>
            <w:noWrap w:val="false"/>
          </w:tcPr>
          <w:p>
            <w:pPr>
              <w:pStyle w:val="1038"/>
              <w:contextualSpacing/>
              <w:ind w:left="108"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Ширина водоохраной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1038"/>
              <w:contextualSpacing/>
              <w:ind w:left="108"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Зоны/ реестровый номер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3483" w:type="dxa"/>
            <w:textDirection w:val="lrTb"/>
            <w:noWrap w:val="false"/>
          </w:tcPr>
          <w:p>
            <w:pPr>
              <w:pStyle w:val="1038"/>
              <w:contextualSpacing/>
              <w:ind w:left="109"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Ширина прибрежной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  <w:p>
            <w:pPr>
              <w:pStyle w:val="1038"/>
              <w:contextualSpacing/>
              <w:ind w:left="109"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Полосы/реестровый номер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</w:tr>
      <w:tr>
        <w:trPr>
          <w:trHeight w:val="275"/>
        </w:trPr>
        <w:tc>
          <w:tcPr>
            <w:tcW w:w="709" w:type="dxa"/>
            <w:textDirection w:val="lrTb"/>
            <w:noWrap w:val="false"/>
          </w:tcPr>
          <w:p>
            <w:pPr>
              <w:pStyle w:val="1038"/>
              <w:contextualSpacing/>
              <w:ind w:left="107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1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3125" w:type="dxa"/>
            <w:textDirection w:val="lrTb"/>
            <w:noWrap w:val="false"/>
          </w:tcPr>
          <w:p>
            <w:pPr>
              <w:pStyle w:val="1038"/>
              <w:contextualSpacing/>
              <w:ind w:left="108"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eastAsia="Calibri" w:cs="Times New Roman"/>
                <w:color w:val="000000"/>
                <w:sz w:val="26"/>
                <w:szCs w:val="26"/>
                <w:lang w:val="ru-RU"/>
              </w:rPr>
              <w:t xml:space="preserve">Водоохранная зона реки Тарка до впадения в озеро Большое (Тужилкино)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2889" w:type="dxa"/>
            <w:textDirection w:val="lrTb"/>
            <w:noWrap w:val="false"/>
          </w:tcPr>
          <w:p>
            <w:pPr>
              <w:pStyle w:val="1038"/>
              <w:contextualSpacing/>
              <w:ind w:left="108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ru-RU"/>
              </w:rPr>
              <w:t xml:space="preserve">100/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  <w:sz w:val="26"/>
                <w:szCs w:val="26"/>
              </w:rPr>
              <w:t xml:space="preserve">54:26-6.920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3483" w:type="dxa"/>
            <w:textDirection w:val="lrTb"/>
            <w:noWrap w:val="false"/>
          </w:tcPr>
          <w:p>
            <w:pPr>
              <w:pStyle w:val="1038"/>
              <w:contextualSpacing/>
              <w:ind w:left="109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50</w:t>
            </w:r>
            <w:r>
              <w:rPr>
                <w:rFonts w:cs="Times New Roman"/>
                <w:color w:val="000000" w:themeColor="text1"/>
                <w:sz w:val="26"/>
                <w:szCs w:val="26"/>
                <w:lang w:val="ru-RU"/>
              </w:rPr>
              <w:t xml:space="preserve">/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  <w:sz w:val="26"/>
                <w:szCs w:val="26"/>
              </w:rPr>
              <w:t xml:space="preserve">54:26-6.921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</w:p>
        </w:tc>
      </w:tr>
      <w:tr>
        <w:trPr>
          <w:trHeight w:val="299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38"/>
              <w:contextualSpacing/>
              <w:ind w:left="107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2</w:t>
            </w:r>
            <w:r>
              <w:rPr>
                <w:rFonts w:cs="Times New Roman"/>
                <w:sz w:val="26"/>
                <w:szCs w:val="26"/>
              </w:rPr>
            </w:r>
            <w:r>
              <w:rPr>
                <w:rFonts w:cs="Times New Roman"/>
                <w:sz w:val="26"/>
                <w:szCs w:val="26"/>
              </w:rPr>
            </w:r>
          </w:p>
        </w:tc>
        <w:tc>
          <w:tcPr>
            <w:tcW w:w="3125" w:type="dxa"/>
            <w:vMerge w:val="restart"/>
            <w:textDirection w:val="lrTb"/>
            <w:noWrap w:val="false"/>
          </w:tcPr>
          <w:p>
            <w:pPr>
              <w:pStyle w:val="1038"/>
              <w:contextualSpacing/>
              <w:ind w:left="108"/>
              <w:jc w:val="both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eastAsia="Calibri" w:cs="Times New Roman"/>
                <w:color w:val="000000"/>
                <w:sz w:val="26"/>
                <w:szCs w:val="26"/>
                <w:lang w:val="ru-RU"/>
              </w:rPr>
              <w:t xml:space="preserve">Водоохранная зона реки Омь от границы с Омской областью до села Абрамова и от села Крещенское до озеро Омское на территории Новосибирской области</w:t>
            </w:r>
            <w:r>
              <w:rPr>
                <w:rFonts w:cs="Times New Roman"/>
                <w:sz w:val="26"/>
                <w:szCs w:val="26"/>
                <w:lang w:val="ru-RU"/>
              </w:rPr>
            </w:r>
            <w:r>
              <w:rPr>
                <w:rFonts w:cs="Times New Roman"/>
                <w:sz w:val="26"/>
                <w:szCs w:val="26"/>
                <w:lang w:val="ru-RU"/>
              </w:rPr>
            </w:r>
          </w:p>
        </w:tc>
        <w:tc>
          <w:tcPr>
            <w:tcW w:w="2889" w:type="dxa"/>
            <w:vMerge w:val="restart"/>
            <w:textDirection w:val="lrTb"/>
            <w:noWrap w:val="false"/>
          </w:tcPr>
          <w:p>
            <w:pPr>
              <w:pStyle w:val="1038"/>
              <w:contextualSpacing/>
              <w:ind w:left="108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ru-RU"/>
              </w:rPr>
              <w:t xml:space="preserve">200/</w:t>
            </w:r>
            <w:r>
              <w:rPr>
                <w:rFonts w:eastAsia="Calibri" w:cs="Times New Roman"/>
                <w:color w:val="000000" w:themeColor="text1"/>
                <w:sz w:val="26"/>
                <w:szCs w:val="26"/>
              </w:rPr>
              <w:t xml:space="preserve">54:00-6.449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3483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200/</w:t>
            </w:r>
            <w:r>
              <w:rPr>
                <w:rFonts w:eastAsia="Calibri" w:cs="Times New Roman"/>
                <w:color w:val="000000" w:themeColor="text1"/>
                <w:sz w:val="26"/>
                <w:szCs w:val="26"/>
              </w:rPr>
              <w:t xml:space="preserve">54:00-6.447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</w:p>
          <w:p>
            <w:pPr>
              <w:pStyle w:val="1038"/>
              <w:contextualSpacing/>
              <w:ind w:left="109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</w:r>
          </w:p>
        </w:tc>
      </w:tr>
    </w:tbl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Согласно ст. 65 Водного кодекса Российской Федерации в границах водоохранных зон запрещаются: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>
        <w:rPr>
          <w:sz w:val="26"/>
          <w:szCs w:val="26"/>
        </w:rPr>
        <w:tab/>
        <w:t xml:space="preserve">использование сточных вод в целях регулирования плодородия почв;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>
        <w:rPr>
          <w:sz w:val="26"/>
          <w:szCs w:val="26"/>
        </w:rPr>
        <w:tab/>
        <w:t xml:space="preserve"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>
        <w:rPr>
          <w:sz w:val="26"/>
          <w:szCs w:val="26"/>
        </w:rPr>
        <w:tab/>
        <w:t xml:space="preserve">осуществление авиационных мер по борьбе с вредными организмами;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>
        <w:rPr>
          <w:sz w:val="26"/>
          <w:szCs w:val="26"/>
        </w:rPr>
        <w:tab/>
        <w:t xml:space="preserve"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>
        <w:rPr>
          <w:sz w:val="26"/>
          <w:szCs w:val="26"/>
        </w:rPr>
        <w:tab/>
        <w:t xml:space="preserve">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</w:t>
      </w:r>
      <w:r>
        <w:rPr>
          <w:sz w:val="26"/>
          <w:szCs w:val="26"/>
        </w:rPr>
        <w:t xml:space="preserve">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>
        <w:rPr>
          <w:sz w:val="26"/>
          <w:szCs w:val="26"/>
        </w:rPr>
        <w:tab/>
        <w:t xml:space="preserve">хранение пестицидов и агрохимикатов (за исключением хранения агрохимикатов в специализированных хранилищах на территориях морских портов за пределами границ прибрежных защитных полос), применение пестицидов и агрохимикатов;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>
        <w:rPr>
          <w:sz w:val="26"/>
          <w:szCs w:val="26"/>
        </w:rPr>
        <w:tab/>
        <w:t xml:space="preserve">сброс сточных, в том числе дренажных, вод;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>
        <w:rPr>
          <w:sz w:val="26"/>
          <w:szCs w:val="26"/>
        </w:rPr>
        <w:tab/>
        <w:t xml:space="preserve">разведка и добыча общераспрост</w:t>
      </w:r>
      <w:r>
        <w:rPr>
          <w:sz w:val="26"/>
          <w:szCs w:val="26"/>
        </w:rPr>
        <w:t xml:space="preserve">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</w:t>
      </w:r>
      <w:r>
        <w:rPr>
          <w:sz w:val="26"/>
          <w:szCs w:val="26"/>
        </w:rPr>
        <w:t xml:space="preserve">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№ 2395-1 «О недрах»).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границах водоохранных зон допускаются проектирование, строительство, реконструкция, ввод в эксплуат</w:t>
      </w:r>
      <w:r>
        <w:rPr>
          <w:sz w:val="26"/>
          <w:szCs w:val="26"/>
        </w:rPr>
        <w:t xml:space="preserve">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</w:t>
      </w:r>
      <w:r>
        <w:rPr>
          <w:sz w:val="26"/>
          <w:szCs w:val="26"/>
        </w:rPr>
        <w:t xml:space="preserve">в области охраны окружающей среды. Выбор типа сооружения, обеспечивающего охрану водного объекта от загрязнения, засорения, заиления и истощения вод, осуществляется с учетом необходимости соблюдения установленных в соответствии с законодательством в област</w:t>
      </w:r>
      <w:r>
        <w:rPr>
          <w:sz w:val="26"/>
          <w:szCs w:val="26"/>
        </w:rPr>
        <w:t xml:space="preserve">и охраны окружающей среды нормативов допустимых сбросов загрязняющих веществ, иных веществ и микроорганизмов. В целях настоящей статьи под сооружениями, обеспечивающими охрану водных объектов от загрязнения, засорения, заиления и истощения вод, понимаются: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>
        <w:rPr>
          <w:sz w:val="26"/>
          <w:szCs w:val="26"/>
        </w:rPr>
        <w:tab/>
        <w:t xml:space="preserve">централизованные системы водоотведения (канализации), централизованные ливневые системы водоотведения;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>
        <w:rPr>
          <w:sz w:val="26"/>
          <w:szCs w:val="26"/>
        </w:rPr>
        <w:tab/>
        <w:t xml:space="preserve">сооружения и системы для отведения (сброса) сточных вод в централизованные системы водоотведения (в том числе дождевых, талых, инфильтрационных, поливомоечных и дренажных вод), если они предназначены для приема таких вод;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>
        <w:rPr>
          <w:sz w:val="26"/>
          <w:szCs w:val="26"/>
        </w:rPr>
        <w:tab/>
        <w:t xml:space="preserve">локальные очистные сооружения для очистки сточных вод (в том числе дождевых, талых, инфильтрационных, поливомоечных и дренажных вод), обеспечивающие их очистку исходя из нормативов, установленных в соответствии с </w:t>
      </w:r>
      <w:r>
        <w:rPr>
          <w:sz w:val="26"/>
          <w:szCs w:val="26"/>
        </w:rPr>
        <w:t xml:space="preserve">требованиями законодательства в области охраны окружающей среды и настоящего Кодекса;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>
        <w:rPr>
          <w:sz w:val="26"/>
          <w:szCs w:val="26"/>
        </w:rPr>
        <w:tab/>
        <w:t xml:space="preserve">соо</w:t>
      </w:r>
      <w:r>
        <w:rPr>
          <w:sz w:val="26"/>
          <w:szCs w:val="26"/>
        </w:rPr>
        <w:t xml:space="preserve">ружения для сбора отходов производства и потребления, а также сооружения и системы для отведения (сброса) сточных вод (в том числе дождевых, талых, инфильтрационных, поливомоечных и дренажных вод) в приемники, изготовленные из водонепроницаемых материалов;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>
        <w:rPr>
          <w:sz w:val="26"/>
          <w:szCs w:val="26"/>
        </w:rPr>
        <w:tab/>
        <w:t xml:space="preserve">сооружения,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отношении территорий ведения гражданами садоводства или огородничества для собственных нужд, размещенных в границах водоохранных зон и не оборудованных сооружениями для очистки сточных вод, до момента их оборудования такими сооружениями и (ил</w:t>
      </w:r>
      <w:r>
        <w:rPr>
          <w:sz w:val="26"/>
          <w:szCs w:val="26"/>
        </w:rPr>
        <w:t xml:space="preserve">и) подключения к системам, указанным в п. 1 ч. 16 ст. 65 Водного кодекса, допускается применение приемников, изготовленных из водонепроницаемых материалов, предотвращающих поступление загрязняющих веществ, иных веществ и микроорганизмов в окружающую среду.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территориях, расположенных в границах водоохранных зон и занятых защитными лесами, особо</w:t>
      </w:r>
      <w:r>
        <w:rPr>
          <w:sz w:val="26"/>
          <w:szCs w:val="26"/>
        </w:rPr>
        <w:t xml:space="preserve"> защитными участками лесов, наряду с ограничениями, установленными ч. 15 ст. 65 Водного кодекса, действуют ограничения, предусмотренные установленными лесным законодательством правовым режимом защитных лесов, правовым режимом особо защитных участков лесов.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Строительство,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системами, предотвращающими загрязнение водных объектов.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границах прибрежных защитных полос наряду с установленными ч. 15 ст. 65 Водного кодекса ограничениями запрещаются: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>
        <w:rPr>
          <w:sz w:val="26"/>
          <w:szCs w:val="26"/>
        </w:rPr>
        <w:tab/>
        <w:t xml:space="preserve">распашка земель;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>
        <w:rPr>
          <w:sz w:val="26"/>
          <w:szCs w:val="26"/>
        </w:rPr>
        <w:tab/>
        <w:t xml:space="preserve">размещение отвалов размываемых грунтов;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>
        <w:rPr>
          <w:sz w:val="26"/>
          <w:szCs w:val="26"/>
        </w:rPr>
        <w:tab/>
        <w:t xml:space="preserve">выпас сельскохозяйственных животных и организация для них летних лагерей, ванн.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jc w:val="left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карте «Карта функциональных зон Усть-Таркского сельсовета, совмещенная с картой зон с особыми условиями использования территории» отображены водоохранные зоны и прибрежные защитные полосы.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Зоны санитарной охраны источников питьевого водоснабжения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СанПиН 2.1.4.1110-02 и СП 31.13330.2012 источники хозяйственно-питьевого водоснабжения должны иметь зоны санитарной охраны (ЗСО).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Зоны санитарной охраны организуются в составе трех поясов. Первый пояс (строгого реж</w:t>
      </w:r>
      <w:r>
        <w:rPr>
          <w:sz w:val="26"/>
          <w:szCs w:val="26"/>
        </w:rPr>
        <w:t xml:space="preserve">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каждом из трех поясов, соответственно их назначению, устанавливается специальный режим и определяется комплекс мероприятий, направленных на предупреждение ухудшения качества воды.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Граница первого пояса ЗСО водопровода с поверхностным источником устанавливается, с учетом конкретных условий, в следующих пределах: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а) для водотоков: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вверх по течению – не менее 200 м от водозабора;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вниз по течению – не менее 100 м от водозабора;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по прилегающему к водозабору берегу – не менее 100 м от линии уреза воды летне-осенней межени;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в направлении к п</w:t>
      </w:r>
      <w:r>
        <w:rPr>
          <w:sz w:val="26"/>
          <w:szCs w:val="26"/>
        </w:rPr>
        <w:t xml:space="preserve">ротивоположному от водозабора берегу при ширине реки или канала менее 100 м – вся акватория и противоположный берег шириной 50 м от линии уреза воды при летне-осенней межени, при ширине реки или канала более 100 м – полоса акватории шириной не менее 100 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б) для водоемов (водохранилища, озера</w:t>
      </w:r>
      <w:r>
        <w:rPr>
          <w:sz w:val="26"/>
          <w:szCs w:val="26"/>
        </w:rPr>
        <w:t xml:space="preserve">) граница первого пояса должна устанавливаться в зависимости от местных санитарных и гидрологических условий, но не менее 100 м во всех направлениях по акватории водозабора и по прилегающему к водозабору берегу от линии уреза воды при летне-осенней межени.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Границы второго пояса ЗСО водотоков (реки, канала) и водоемов</w:t>
      </w:r>
      <w:r>
        <w:rPr>
          <w:sz w:val="26"/>
          <w:szCs w:val="26"/>
        </w:rPr>
        <w:t xml:space="preserve"> (водохранилища, озера) определяются в зависимости от природных, климатических и гидрологических условий. Граница третьего пояса ЗСО, предназначенного для защиты водоносного пласта от химических загрязнений, также определяется гидродинамическими расчетами.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Границы третьего пояса ЗСО поверхностных источников водоснабжения на водотоке в</w:t>
      </w:r>
      <w:r>
        <w:rPr>
          <w:sz w:val="26"/>
          <w:szCs w:val="26"/>
        </w:rPr>
        <w:t xml:space="preserve">верх и вниз по течению совпадают с границами второго пояса. Боковые границы должны проходить по линии водоразделов в пределах 3-5 км, включая притоки. Границы третьего пояса поверхностного источника на водоеме полностью совпадают с границами второго пояса.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Зона санитарной охраны водопроводных сооружений, расположенных вне территории водозабора, представлена первым поясом, водоводов – санитарно-защитной полосой.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Граница первого пояса ЗСО водопроводных сооружений принимается на расстоянии: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от стен запасных и регулирующих емкостей, фильтров и контактных осветлителей – не менее 30 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от водонапорных башен – не менее 10 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от остальных помещений (отстойники, реагентное хозяйство, склад хлора, насосные станции и др.) – не менее 15м.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Ширину санитарно-защитной полосы следует принимать по обе стороны от крайних линий водопровода: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при отсутствии грунтовых вод не менее 10 м при диаметре водоводов до 1 000 мм и не менее 20 м при диаметре водоводов более 1 000 мм;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</w:t>
      </w:r>
      <w:r>
        <w:rPr>
          <w:sz w:val="26"/>
          <w:szCs w:val="26"/>
        </w:rPr>
        <w:tab/>
        <w:t xml:space="preserve">при наличии грунтовых вод – не менее 50 м вне зависимости от диаметра водоводов.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Зоны затопления и подтопления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ч. 5 ст. 67.1 Водного кодекса Российской Федерации границы зон затопления, подтопления определяются уполномоченным Правительством Российской Федерации федеральным органом </w:t>
      </w:r>
      <w:r>
        <w:rPr>
          <w:sz w:val="26"/>
          <w:szCs w:val="26"/>
        </w:rPr>
        <w:t xml:space="preserve">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порядке, установленном Правительством Российской Федерации. Границы зон затопления, подтопления определяются </w:t>
      </w:r>
      <w:r>
        <w:rPr>
          <w:sz w:val="26"/>
          <w:szCs w:val="26"/>
        </w:rPr>
        <w:t xml:space="preserve">Федеральным</w:t>
      </w:r>
      <w:r>
        <w:rPr>
          <w:sz w:val="26"/>
          <w:szCs w:val="26"/>
        </w:rPr>
        <w:t xml:space="preserve"> агентством водных ресурсов на основании предложений органа исполнительной власти субъекта Российской Федерации, подготовленных совместно с органами местного самоуправления, об определении границ зон затопления, подтопления и сведений о границах таких зон.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Работы по определению границ зон затопления, подтопления выполняются в соответствии с порядком, устано</w:t>
      </w:r>
      <w:r>
        <w:rPr>
          <w:sz w:val="26"/>
          <w:szCs w:val="26"/>
        </w:rPr>
        <w:t xml:space="preserve">вленным постановлением Правительства Российской Федерации от 18.04.2014 № 360 «Об определении границ зон затопления, подтопления». Согласно настоящему нормативному документу границы зон затопления, подтопления определяются в отношении следующих территорий: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1) Зоны затопления определяются в отношении: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а) территорий, которые прилегают к незарегулированным водотокам, затапливаемых при половодьях и паводках однопроцентной обеспеченности (повторяемость од</w:t>
      </w:r>
      <w:r>
        <w:rPr>
          <w:sz w:val="26"/>
          <w:szCs w:val="26"/>
        </w:rPr>
        <w:t xml:space="preserve">ин раз в 100 лет) либо в результате ледовых заторов и зажоров. В границах зон затопления устанавливаются территории, затапливаемые при максимальных уровнях воды 3, 5, 10, 25 и 50-процентной обеспеченности (повторяемость 1, 3, 5, 10, 25 и 50 раз в 100 лет);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б) территорий, прилегающих к устьевым участкам водотоков, затапливаемых в результате нагонных явлений расчетной обеспеченности;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в) территорий, прилегающих к естественным водоемам, затапливаемых при уровнях воды однопроцентной обеспеченности;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г) территорий, прилегающих к водохранилищам, затапливаемых при уровнях воды, соответствующих форсированному подпорному уровню воды водохранилища;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д) территорий, прилегающих к зарегулированным водотокам в нижних бьефах гидроузлов, затапливаемых при пропуске гидроузлами паводков расчетной обеспеченности;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2) Зоны подтопления определяются в отношении территорий, прилегающих к зонам затопления, указанным выше, повышение уровня грунтовых вод которых обусловливается подпором грунтовых вод уровнями высоких вод водных объектов.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tabs>
          <w:tab w:val="left" w:pos="993" w:leader="none"/>
        </w:tabs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Санитарно-защитная зона (СЗЗ)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30.03.1999 № 52-ФЗ «О санитарно-эпидемиологическом благополучии населения» и СанПиН 2.2.1./2.1.1.1200-03 «Санитарно-защитные зоны и санитарная классификация предприятий, сооруже</w:t>
      </w:r>
      <w:r>
        <w:rPr>
          <w:sz w:val="26"/>
          <w:szCs w:val="26"/>
        </w:rPr>
        <w:t xml:space="preserve">ний и иных объектов» в целях обеспечения безопасности населения вокруг объектов и производств, являющихся источниками воздействия на среду обитания и здоровье человека, устанавливается специальная территория с особым режимом использования – санитарно-защит</w:t>
      </w:r>
      <w:r>
        <w:rPr>
          <w:sz w:val="26"/>
          <w:szCs w:val="26"/>
        </w:rPr>
        <w:t xml:space="preserve">ная зона, размер которой обеспечивает уменьшение воздействия загрязнений на атмосферный воздух (химического, биологического, физического) до значений, установленных гигиеническими нормативами, а для предприятий I и II класса опасности – как до значений, ус</w:t>
      </w:r>
      <w:r>
        <w:rPr>
          <w:sz w:val="26"/>
          <w:szCs w:val="26"/>
        </w:rPr>
        <w:t xml:space="preserve">тановленных гигиеническими нормативами, так и до величин приемлемого риска для здоровья населения. По своему функциональному назначению СЗЗ является защитным барьером, обеспечивающим уровень безопасности населения при эксплуатации объекта в штатном режиме.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Установление размеров санитарно-защитных зон</w:t>
      </w:r>
      <w:r>
        <w:rPr>
          <w:sz w:val="26"/>
          <w:szCs w:val="26"/>
        </w:rPr>
        <w:t xml:space="preserve"> для промышленных объектов и производств проводится при наличии проектов обоснования санитарно-защитных зон с расчетами загрязнения атмосферного воздуха, физического воздействия на атмосферный воздух, с учетом результатов натурных исследований и измерений </w:t>
      </w:r>
      <w:r>
        <w:rPr>
          <w:sz w:val="26"/>
          <w:szCs w:val="26"/>
        </w:rPr>
        <w:t xml:space="preserve">атмосферного воздуха, уровней физического воздействия на атмосферный воздух, выполненных в соответствии с программой наблюдений, представляемой в составе проекта.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Санитарно-защитная зона и ограничения использования земельных участков, расположенных в ее границах, считаются установленными со дня внесения сведений о такой зоне в Единый государственный реестр недвижимости.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Регламенты использования территории СЗЗ определены СанПиН 2.2.1/2.1.1.1200-03.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right="261" w:firstLine="709"/>
        <w:spacing w:before="238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настоящее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время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предприятия,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сооружения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объекты,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являющиеся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источниками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загрязнения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окружающей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среды,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не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имеют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проектов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санитарно-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защитных зон. Поэтому санитарно-защитные зоны установлены в соответствии с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СанПиН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2.2.1/2.1.1.1200-03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«Санитарно-защитные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зоны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санитарная</w:t>
      </w:r>
      <w:r>
        <w:rPr>
          <w:spacing w:val="-72"/>
          <w:sz w:val="26"/>
          <w:szCs w:val="26"/>
        </w:rPr>
        <w:t xml:space="preserve"> </w:t>
      </w:r>
      <w:r>
        <w:rPr>
          <w:sz w:val="26"/>
          <w:szCs w:val="26"/>
        </w:rPr>
        <w:t xml:space="preserve">классификация предприятий, сооружений и иных объектов».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left="261" w:right="261" w:firstLine="709"/>
        <w:spacing w:before="199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Каждым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конкретным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объектом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(предприятием)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должен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разрабатываться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санитарно-защитной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зоны.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В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соответствии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п.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2.10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СанПиН</w:t>
      </w:r>
      <w:r>
        <w:rPr>
          <w:spacing w:val="-72"/>
          <w:sz w:val="26"/>
          <w:szCs w:val="26"/>
        </w:rPr>
        <w:t xml:space="preserve"> </w:t>
      </w:r>
      <w:r>
        <w:rPr>
          <w:sz w:val="26"/>
          <w:szCs w:val="26"/>
        </w:rPr>
        <w:t xml:space="preserve">2.2.1/2.1.1.1200-03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«Санитарно-защитные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зоны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санитарная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классификация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предприятий,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сооружений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иных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объектов»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для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действующих</w:t>
      </w:r>
      <w:r>
        <w:rPr>
          <w:spacing w:val="75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предприятий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организации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санитарно-защитной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зоны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должен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быть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обязательным</w:t>
      </w:r>
      <w:r>
        <w:rPr>
          <w:spacing w:val="-72"/>
          <w:sz w:val="26"/>
          <w:szCs w:val="26"/>
        </w:rPr>
        <w:t xml:space="preserve"> </w:t>
      </w:r>
      <w:r>
        <w:rPr>
          <w:sz w:val="26"/>
          <w:szCs w:val="26"/>
        </w:rPr>
        <w:t xml:space="preserve">документом.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В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этих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проектах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предусматриваются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конкретные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мероприятия,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учитывающие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специфику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предприятия и</w:t>
      </w:r>
      <w:r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 xml:space="preserve">защиту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 xml:space="preserve">от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его</w:t>
      </w:r>
      <w:r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 xml:space="preserve">вредных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воздействий.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/>
      <w:bookmarkStart w:id="14" w:name="_Toc118276407"/>
      <w:r>
        <w:rPr>
          <w:b/>
          <w:sz w:val="26"/>
          <w:szCs w:val="26"/>
        </w:rPr>
        <w:t xml:space="preserve">3.13 Состояние окружающей среды</w:t>
      </w:r>
      <w:bookmarkEnd w:id="14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Основными источниками загрязнения воздушного бассейна, водного бассейна и почв являются стационарные источники и динамические.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>
        <w:rPr>
          <w:sz w:val="26"/>
          <w:szCs w:val="26"/>
          <w:u w:val="single"/>
        </w:rPr>
        <w:t xml:space="preserve">стационарным</w:t>
      </w:r>
      <w:r>
        <w:rPr>
          <w:sz w:val="26"/>
          <w:szCs w:val="26"/>
        </w:rPr>
        <w:t xml:space="preserve"> источникам загрязнения на территории поселения относятся коммунально-складские объекты и объекты сельскохозяйственного производства: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2"/>
        <w:numPr>
          <w:ilvl w:val="0"/>
          <w:numId w:val="33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автопарк;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2"/>
        <w:numPr>
          <w:ilvl w:val="0"/>
          <w:numId w:val="33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печи в жилых домах, отапливающихся дровами.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>
        <w:rPr>
          <w:sz w:val="26"/>
          <w:szCs w:val="26"/>
          <w:u w:val="single"/>
        </w:rPr>
        <w:t xml:space="preserve">динамическим</w:t>
      </w:r>
      <w:r>
        <w:rPr>
          <w:sz w:val="26"/>
          <w:szCs w:val="26"/>
        </w:rPr>
        <w:t xml:space="preserve"> (передвижным источникам) относятся: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09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транспорт (автомобили, тракторы, мотоциклы).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72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Действующим генеральным планом предусмотрены следующие мероприятия, направленные на уменьшение загрязнения воздуха от стационарных и динамических источников: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contextualSpacing/>
        <w:ind w:left="1620" w:hanging="540"/>
        <w:spacing w:after="0" w:line="240" w:lineRule="auto"/>
        <w:tabs>
          <w:tab w:val="num" w:pos="1620" w:leader="none"/>
          <w:tab w:val="clear" w:pos="180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совершенствование технологических процессов: переход </w:t>
      </w:r>
      <w:r>
        <w:rPr>
          <w:sz w:val="26"/>
          <w:szCs w:val="26"/>
        </w:rPr>
        <w:br/>
        <w:t xml:space="preserve">на передовые ресурсосберегающие безотходные или малоотходные технологии, установка нового современного оборудования, </w:t>
      </w:r>
      <w:r>
        <w:rPr>
          <w:sz w:val="26"/>
          <w:szCs w:val="26"/>
        </w:rPr>
        <w:br/>
        <w:t xml:space="preserve">что открывает широкие перспективы экологизации производства;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contextualSpacing/>
        <w:ind w:left="1620" w:hanging="540"/>
        <w:spacing w:after="0" w:line="240" w:lineRule="auto"/>
        <w:tabs>
          <w:tab w:val="num" w:pos="1620" w:leader="none"/>
          <w:tab w:val="clear" w:pos="180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контроль за состоянием рабочей зоны и рабочих мест с целью исключения неорганизованных выбросов путем создания стационарных пунктов по контролю за санитарно-гигиеническим состоянием воздушного бассейна;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contextualSpacing/>
        <w:ind w:left="1620" w:hanging="540"/>
        <w:spacing w:after="0" w:line="240" w:lineRule="auto"/>
        <w:tabs>
          <w:tab w:val="num" w:pos="1620" w:leader="none"/>
          <w:tab w:val="clear" w:pos="180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разработка проектов санитарно-защитных зон промышленных, </w:t>
      </w:r>
      <w:r>
        <w:rPr>
          <w:sz w:val="26"/>
          <w:szCs w:val="26"/>
        </w:rPr>
        <w:br/>
        <w:t xml:space="preserve">коммунально-складских и сельскохозяйственных предприятий; санитарно-защитные зоны должны быть хорошо озеленены </w:t>
      </w:r>
      <w:r>
        <w:rPr>
          <w:sz w:val="26"/>
          <w:szCs w:val="26"/>
        </w:rPr>
        <w:t xml:space="preserve">соответствующим для данного природно-климатического района ассортиментом газоустойчивых древесно-кустарниковых пород: тополь бальзамический, клен американский, ива белая, бузина красная, жимолость татарская;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contextualSpacing/>
        <w:ind w:left="1620" w:hanging="540"/>
        <w:spacing w:after="0" w:line="240" w:lineRule="auto"/>
        <w:tabs>
          <w:tab w:val="num" w:pos="1620" w:leader="none"/>
          <w:tab w:val="clear" w:pos="180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организация в пределах санитарно-защитных зон промышленных </w:t>
      </w:r>
      <w:r>
        <w:rPr>
          <w:sz w:val="26"/>
          <w:szCs w:val="26"/>
        </w:rPr>
        <w:br/>
        <w:t xml:space="preserve">и коммунально-складских предприятий зоны запрещения нового жилищного строительства с последующим озеленением указанных зон;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contextualSpacing/>
        <w:ind w:left="1620" w:hanging="540"/>
        <w:spacing w:after="0" w:line="240" w:lineRule="auto"/>
        <w:tabs>
          <w:tab w:val="num" w:pos="1620" w:leader="none"/>
          <w:tab w:val="clear" w:pos="180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размещении новых промышленных и коммуналь</w:t>
      </w:r>
      <w:r>
        <w:rPr>
          <w:sz w:val="26"/>
          <w:szCs w:val="26"/>
        </w:rPr>
        <w:t xml:space="preserve">но-складских объектов и объектов сельскохозяйственного производства необходимо строго выдерживать рекомендуемые санитарно-защитные зоны (разрывы) между предприятиями и населенными пунктами, максимально сохраняя на этой территории естественную зеленую зону;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contextualSpacing/>
        <w:ind w:left="1620" w:hanging="540"/>
        <w:spacing w:after="0" w:line="240" w:lineRule="auto"/>
        <w:tabs>
          <w:tab w:val="num" w:pos="1620" w:leader="none"/>
          <w:tab w:val="clear" w:pos="180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развитие транспортной сети и прилегающих территорий, предусмотренных под размещение индивидуальной жилой застройки, способствующее уменьшению перепробега автотранспорта;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contextualSpacing/>
        <w:ind w:left="1620" w:hanging="540"/>
        <w:spacing w:after="0" w:line="240" w:lineRule="auto"/>
        <w:tabs>
          <w:tab w:val="num" w:pos="1620" w:leader="none"/>
          <w:tab w:val="clear" w:pos="180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контроль за техническим состоянием автотранспорта;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contextualSpacing/>
        <w:ind w:left="1620" w:hanging="540"/>
        <w:spacing w:after="0" w:line="240" w:lineRule="auto"/>
        <w:tabs>
          <w:tab w:val="num" w:pos="1620" w:leader="none"/>
          <w:tab w:val="clear" w:pos="180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создание лесополос вдоль дорог, озеленение населенных пунктов </w:t>
      </w:r>
      <w:r>
        <w:rPr>
          <w:sz w:val="26"/>
          <w:szCs w:val="26"/>
        </w:rPr>
        <w:br/>
        <w:t xml:space="preserve">и создание зеленых зон вокруг них;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8"/>
        </w:numPr>
        <w:contextualSpacing/>
        <w:ind w:left="1620" w:hanging="540"/>
        <w:spacing w:after="0" w:line="240" w:lineRule="auto"/>
        <w:tabs>
          <w:tab w:val="num" w:pos="1620" w:leader="none"/>
          <w:tab w:val="clear" w:pos="180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предупреждение пожаров.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18"/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  <w:r>
        <w:rPr>
          <w:sz w:val="26"/>
          <w:szCs w:val="26"/>
          <w:lang w:eastAsia="ru-RU"/>
        </w:rPr>
      </w:r>
    </w:p>
    <w:p>
      <w:pPr>
        <w:pStyle w:val="954"/>
        <w:contextualSpacing/>
        <w:spacing w:after="0"/>
        <w:rPr>
          <w:b/>
          <w:sz w:val="26"/>
          <w:szCs w:val="26"/>
        </w:rPr>
      </w:pPr>
      <w:r/>
      <w:bookmarkStart w:id="15" w:name="_Toc118276408"/>
      <w:r>
        <w:rPr>
          <w:b/>
          <w:sz w:val="26"/>
          <w:szCs w:val="26"/>
        </w:rPr>
        <w:t xml:space="preserve">3.14 Результаты градостроительного анализа</w:t>
      </w:r>
      <w:bookmarkEnd w:id="15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ind w:firstLine="709"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Из проведенного градостроительного анализа территории Усть-Таркского сельсовета  можно выявить следующие проблемы: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28"/>
        </w:numPr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Значительная часть инженерных сетей находится в неудовлетворительном состоянии и не соответствует техническим требованиям;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28"/>
        </w:numPr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Недостаточный уровень благоустройства  усадебных жилых домов ввиду отсутствия в части жилой застройки сетей водоснабжения, водоотведения;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28"/>
        </w:numPr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Несоблюдение режимов охранных зон инженерных сооружений;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8"/>
        </w:num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Высокий процент износа жилых домов.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28"/>
        </w:numPr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Современное функциональное использование территории не совпадает с целевым назначением земель;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numPr>
          <w:ilvl w:val="0"/>
          <w:numId w:val="28"/>
        </w:numPr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Недостаточное развитие социальной инфраструктуры;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8"/>
        <w:contextualSpacing/>
        <w:spacing w:after="0" w:line="240" w:lineRule="auto"/>
        <w:rPr>
          <w:sz w:val="26"/>
          <w:szCs w:val="26"/>
        </w:rPr>
      </w:pPr>
      <w:r/>
      <w:bookmarkStart w:id="16" w:name="_GoBack"/>
      <w:r/>
      <w:bookmarkEnd w:id="16"/>
      <w:r>
        <w:rPr>
          <w:sz w:val="26"/>
          <w:szCs w:val="26"/>
        </w:rPr>
        <w:t xml:space="preserve">      -    Недостаточное развитие транспортного обслуживания населения.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erReference w:type="default" r:id="rId9"/>
      <w:footnotePr/>
      <w:endnotePr/>
      <w:type w:val="continuous"/>
      <w:pgSz w:w="11906" w:h="16838" w:orient="portrait"/>
      <w:pgMar w:top="1134" w:right="567" w:bottom="1134" w:left="1418" w:header="737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Liberation Sans">
    <w:panose1 w:val="020B0604020202020204"/>
  </w:font>
  <w:font w:name="Wingdings">
    <w:panose1 w:val="05010000000000000000"/>
  </w:font>
  <w:font w:name="Verdana">
    <w:panose1 w:val="020B0603030804020204"/>
  </w:font>
  <w:font w:name="Symbol">
    <w:panose1 w:val="05010000000000000000"/>
  </w:font>
  <w:font w:name="Courier New">
    <w:panose1 w:val="02070409020205020404"/>
  </w:font>
  <w:font w:name="Book Antiqua">
    <w:panose1 w:val="02040503050406030204"/>
  </w:font>
  <w:font w:name="Tahoma">
    <w:panose1 w:val="020B0506030602030204"/>
  </w:font>
  <w:font w:name="Monotype Corsiva">
    <w:panose1 w:val="02000000000000000000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newromanpsmt;arial unicode">
    <w:panose1 w:val="05040102010807070707"/>
  </w:font>
  <w:font w:name="Times New Roman">
    <w:panose1 w:val="02020603050405020304"/>
  </w:font>
  <w:font w:name="gaze">
    <w:panose1 w:val="05040102010807070707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0252632"/>
      <w:docPartObj>
        <w:docPartGallery w:val="Page Numbers (Bottom of Page)"/>
        <w:docPartUnique w:val="true"/>
      </w:docPartObj>
      <w:rPr/>
    </w:sdtPr>
    <w:sdtContent>
      <w:p>
        <w:pPr>
          <w:pStyle w:val="96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47</w:t>
        </w:r>
        <w:r>
          <w:fldChar w:fldCharType="end"/>
        </w:r>
        <w:r/>
      </w:p>
    </w:sdtContent>
  </w:sdt>
  <w:p>
    <w:pPr>
      <w:pStyle w:val="967"/>
      <w:rPr>
        <w:rFonts w:ascii="Times New Roman" w:hAnsi="Times New Roman" w:cs="Times New Roman"/>
      </w:rPr>
    </w:pPr>
    <w:r>
      <w:rPr>
        <w:rFonts w:ascii="Times New Roman" w:hAnsi="Times New Roman" w:cs="Times New Roman"/>
      </w:rPr>
    </w:r>
    <w:r>
      <w:rPr>
        <w:rFonts w:ascii="Times New Roman" w:hAnsi="Times New Roman" w:cs="Times New Roman"/>
      </w:rPr>
    </w:r>
    <w:r>
      <w:rPr>
        <w:rFonts w:ascii="Times New Roman" w:hAnsi="Times New Roman" w:cs="Times New Roman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429" w:hanging="720"/>
      </w:pPr>
      <w:rPr>
        <w:rFonts w:hint="default"/>
      </w:rPr>
    </w:lvl>
    <w:lvl w:ilvl="1">
      <w:start w:val="11"/>
      <w:numFmt w:val="decimal"/>
      <w:isLgl/>
      <w:suff w:val="tab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214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64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276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2149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2149" w:leader="none"/>
        </w:tabs>
      </w:pPr>
      <w:rPr>
        <w:rFonts w:hint="default" w:ascii="Symbol" w:hAnsi="Symbol" w:cs="Symbol"/>
        <w:sz w:val="26"/>
        <w:szCs w:val="26"/>
      </w:rPr>
    </w:lvl>
    <w:lvl w:ilvl="2">
      <w:start w:val="1"/>
      <w:numFmt w:val="bullet"/>
      <w:isLgl w:val="false"/>
      <w:suff w:val="tab"/>
      <w:lvlText w:val="-"/>
      <w:lvlJc w:val="left"/>
      <w:pPr>
        <w:ind w:left="2509" w:firstLine="0"/>
        <w:tabs>
          <w:tab w:val="num" w:pos="2339" w:leader="none"/>
        </w:tabs>
      </w:pPr>
      <w:rPr>
        <w:rFonts w:hint="default" w:ascii="Symbol" w:hAnsi="Symbol" w:cs="Symbol"/>
        <w:sz w:val="26"/>
        <w:szCs w:val="26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 w:cs="Symbol"/>
        <w:sz w:val="26"/>
        <w:szCs w:val="26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 w:cs="Symbol"/>
        <w:sz w:val="26"/>
        <w:szCs w:val="26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36" w:hanging="352"/>
        <w:tabs>
          <w:tab w:val="num" w:pos="1061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pStyle w:val="948"/>
      <w:isLgl w:val="false"/>
      <w:suff w:val="space"/>
      <w:lvlText w:val="%1."/>
      <w:lvlJc w:val="left"/>
      <w:pPr>
        <w:ind w:left="567"/>
      </w:pPr>
      <w:rPr>
        <w:rFonts w:hint="default"/>
      </w:rPr>
    </w:lvl>
    <w:lvl w:ilvl="1">
      <w:start w:val="1"/>
      <w:numFmt w:val="decimal"/>
      <w:pStyle w:val="950"/>
      <w:isLgl w:val="false"/>
      <w:suff w:val="space"/>
      <w:lvlText w:val="%1.%2."/>
      <w:lvlJc w:val="left"/>
      <w:pPr>
        <w:ind w:left="964"/>
      </w:pPr>
      <w:rPr>
        <w:rFonts w:hint="default"/>
      </w:rPr>
    </w:lvl>
    <w:lvl w:ilvl="2">
      <w:start w:val="1"/>
      <w:numFmt w:val="decimal"/>
      <w:pStyle w:val="948"/>
      <w:isLgl w:val="false"/>
      <w:suff w:val="space"/>
      <w:lvlText w:val="%1.%2.%3."/>
      <w:lvlJc w:val="left"/>
      <w:pPr>
        <w:ind w:left="1361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5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55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949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46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743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509" w:hanging="360"/>
        <w:tabs>
          <w:tab w:val="num" w:pos="2509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2149" w:leader="none"/>
        </w:tabs>
      </w:pPr>
      <w:rPr>
        <w:rFonts w:hint="default" w:ascii="Symbol" w:hAnsi="Symbol" w:cs="Symbol"/>
        <w:sz w:val="26"/>
        <w:szCs w:val="26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 w:cs="Symbol"/>
        <w:sz w:val="26"/>
        <w:szCs w:val="26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 w:cs="Symbol"/>
        <w:sz w:val="26"/>
        <w:szCs w:val="26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2"/>
      <w:numFmt w:val="decimal"/>
      <w:isLgl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5844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8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39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1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3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5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7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9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1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38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10" w:hanging="348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2022" w:hanging="348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925" w:hanging="348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827" w:hanging="348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730" w:hanging="348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633" w:hanging="348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535" w:hanging="348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438" w:hanging="348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341" w:hanging="348"/>
      </w:pPr>
      <w:rPr>
        <w:rFonts w:hint="default" w:ascii="Symbol" w:hAnsi="Symbol" w:eastAsia="Symbol" w:cs="Symbol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1" w:hanging="352"/>
        <w:tabs>
          <w:tab w:val="num" w:pos="1846" w:leader="none"/>
        </w:tabs>
      </w:pPr>
      <w:rPr>
        <w:rFonts w:hint="default" w:ascii="Symbol" w:hAnsi="Symbol" w:cs="Symbol"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pStyle w:val="958"/>
      <w:isLgl w:val="false"/>
      <w:suff w:val="tab"/>
      <w:lvlText w:val=""/>
      <w:lvlJc w:val="left"/>
      <w:pPr>
        <w:ind w:firstLine="284"/>
        <w:tabs>
          <w:tab w:val="num" w:pos="360" w:leader="none"/>
        </w:tabs>
      </w:pPr>
      <w:rPr>
        <w:rFonts w:hint="default" w:ascii="Symbol" w:hAnsi="Symbol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37">
    <w:multiLevelType w:val="hybridMultilevel"/>
    <w:lvl w:ilvl="0">
      <w:start w:val="1"/>
      <w:numFmt w:val="bullet"/>
      <w:pStyle w:val="1036"/>
      <w:isLgl w:val="false"/>
      <w:suff w:val="tab"/>
      <w:lvlText w:val=""/>
      <w:lvlJc w:val="left"/>
      <w:pPr>
        <w:ind w:left="603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4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6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0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2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68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36"/>
  </w:num>
  <w:num w:numId="3">
    <w:abstractNumId w:val="37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9"/>
  </w:num>
  <w:num w:numId="7">
    <w:abstractNumId w:val="4"/>
  </w:num>
  <w:num w:numId="8">
    <w:abstractNumId w:val="16"/>
  </w:num>
  <w:num w:numId="9">
    <w:abstractNumId w:val="35"/>
  </w:num>
  <w:num w:numId="10">
    <w:abstractNumId w:val="1"/>
  </w:num>
  <w:num w:numId="11">
    <w:abstractNumId w:val="7"/>
  </w:num>
  <w:num w:numId="12">
    <w:abstractNumId w:val="22"/>
  </w:num>
  <w:num w:numId="13">
    <w:abstractNumId w:val="38"/>
  </w:num>
  <w:num w:numId="14">
    <w:abstractNumId w:val="21"/>
  </w:num>
  <w:num w:numId="15">
    <w:abstractNumId w:val="15"/>
  </w:num>
  <w:num w:numId="16">
    <w:abstractNumId w:val="33"/>
  </w:num>
  <w:num w:numId="17">
    <w:abstractNumId w:val="0"/>
  </w:num>
  <w:num w:numId="18">
    <w:abstractNumId w:val="19"/>
  </w:num>
  <w:num w:numId="19">
    <w:abstractNumId w:val="26"/>
  </w:num>
  <w:num w:numId="20">
    <w:abstractNumId w:val="30"/>
  </w:num>
  <w:num w:numId="21">
    <w:abstractNumId w:val="13"/>
  </w:num>
  <w:num w:numId="22">
    <w:abstractNumId w:val="20"/>
  </w:num>
  <w:num w:numId="23">
    <w:abstractNumId w:val="18"/>
  </w:num>
  <w:num w:numId="24">
    <w:abstractNumId w:val="6"/>
  </w:num>
  <w:num w:numId="25">
    <w:abstractNumId w:val="3"/>
  </w:num>
  <w:num w:numId="26">
    <w:abstractNumId w:val="24"/>
  </w:num>
  <w:num w:numId="27">
    <w:abstractNumId w:val="12"/>
  </w:num>
  <w:num w:numId="28">
    <w:abstractNumId w:val="31"/>
  </w:num>
  <w:num w:numId="29">
    <w:abstractNumId w:val="27"/>
  </w:num>
  <w:num w:numId="30">
    <w:abstractNumId w:val="25"/>
  </w:num>
  <w:num w:numId="31">
    <w:abstractNumId w:val="2"/>
  </w:num>
  <w:num w:numId="32">
    <w:abstractNumId w:val="11"/>
  </w:num>
  <w:num w:numId="33">
    <w:abstractNumId w:val="28"/>
  </w:num>
  <w:num w:numId="34">
    <w:abstractNumId w:val="8"/>
  </w:num>
  <w:num w:numId="35">
    <w:abstractNumId w:val="17"/>
  </w:num>
  <w:num w:numId="36">
    <w:abstractNumId w:val="32"/>
  </w:num>
  <w:num w:numId="37">
    <w:abstractNumId w:val="34"/>
  </w:num>
  <w:num w:numId="38">
    <w:abstractNumId w:val="10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8" w:default="1">
    <w:name w:val="Normal"/>
    <w:next w:val="1018"/>
    <w:qFormat/>
    <w:pPr>
      <w:jc w:val="both"/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759">
    <w:name w:val="Heading 1"/>
    <w:basedOn w:val="758"/>
    <w:next w:val="758"/>
    <w:link w:val="928"/>
    <w:uiPriority w:val="99"/>
    <w:qFormat/>
    <w:pPr>
      <w:keepNext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paragraph" w:styleId="760">
    <w:name w:val="Heading 2"/>
    <w:basedOn w:val="758"/>
    <w:next w:val="758"/>
    <w:link w:val="929"/>
    <w:uiPriority w:val="99"/>
    <w:qFormat/>
    <w:pPr>
      <w:jc w:val="right"/>
      <w:keepNext/>
      <w:spacing w:after="0" w:line="240" w:lineRule="auto"/>
      <w:outlineLvl w:val="1"/>
    </w:pPr>
    <w:rPr>
      <w:szCs w:val="28"/>
    </w:rPr>
  </w:style>
  <w:style w:type="paragraph" w:styleId="761">
    <w:name w:val="Heading 3"/>
    <w:basedOn w:val="758"/>
    <w:next w:val="758"/>
    <w:link w:val="930"/>
    <w:qFormat/>
    <w:pPr>
      <w:keepNext/>
      <w:spacing w:before="240" w:after="60" w:line="240" w:lineRule="auto"/>
      <w:widowControl w:val="off"/>
      <w:outlineLvl w:val="2"/>
    </w:pPr>
    <w:rPr>
      <w:rFonts w:ascii="Cambria" w:hAnsi="Cambria"/>
      <w:b/>
      <w:bCs/>
      <w:sz w:val="26"/>
      <w:szCs w:val="26"/>
    </w:rPr>
  </w:style>
  <w:style w:type="paragraph" w:styleId="762">
    <w:name w:val="Heading 4"/>
    <w:basedOn w:val="758"/>
    <w:next w:val="758"/>
    <w:link w:val="931"/>
    <w:unhideWhenUsed/>
    <w:qFormat/>
    <w:pPr>
      <w:keepLines/>
      <w:keepNext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763">
    <w:name w:val="Heading 5"/>
    <w:basedOn w:val="758"/>
    <w:next w:val="758"/>
    <w:link w:val="78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4">
    <w:name w:val="Heading 6"/>
    <w:basedOn w:val="758"/>
    <w:next w:val="758"/>
    <w:link w:val="78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765">
    <w:name w:val="Heading 7"/>
    <w:basedOn w:val="758"/>
    <w:next w:val="758"/>
    <w:link w:val="78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766">
    <w:name w:val="Heading 8"/>
    <w:basedOn w:val="758"/>
    <w:next w:val="758"/>
    <w:link w:val="78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767">
    <w:name w:val="Heading 9"/>
    <w:basedOn w:val="758"/>
    <w:next w:val="758"/>
    <w:link w:val="78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 w:default="1">
    <w:name w:val="Default Paragraph Font"/>
    <w:uiPriority w:val="1"/>
    <w:semiHidden/>
    <w:unhideWhenUsed/>
  </w:style>
  <w:style w:type="table" w:styleId="7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0" w:default="1">
    <w:name w:val="No List"/>
    <w:uiPriority w:val="99"/>
    <w:semiHidden/>
    <w:unhideWhenUsed/>
  </w:style>
  <w:style w:type="character" w:styleId="771" w:customStyle="1">
    <w:name w:val="Heading 5 Char"/>
    <w:basedOn w:val="768"/>
    <w:uiPriority w:val="9"/>
    <w:rPr>
      <w:rFonts w:ascii="Arial" w:hAnsi="Arial" w:eastAsia="Arial" w:cs="Arial"/>
      <w:b/>
      <w:bCs/>
      <w:sz w:val="24"/>
      <w:szCs w:val="24"/>
    </w:rPr>
  </w:style>
  <w:style w:type="character" w:styleId="772" w:customStyle="1">
    <w:name w:val="Heading 6 Char"/>
    <w:basedOn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73" w:customStyle="1">
    <w:name w:val="Heading 7 Char"/>
    <w:basedOn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4" w:customStyle="1">
    <w:name w:val="Heading 8 Char"/>
    <w:basedOn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75" w:customStyle="1">
    <w:name w:val="Heading 9 Char"/>
    <w:basedOn w:val="768"/>
    <w:uiPriority w:val="9"/>
    <w:rPr>
      <w:rFonts w:ascii="Arial" w:hAnsi="Arial" w:eastAsia="Arial" w:cs="Arial"/>
      <w:i/>
      <w:iCs/>
      <w:sz w:val="21"/>
      <w:szCs w:val="21"/>
    </w:rPr>
  </w:style>
  <w:style w:type="character" w:styleId="776" w:customStyle="1">
    <w:name w:val="Quote Char"/>
    <w:uiPriority w:val="29"/>
    <w:rPr>
      <w:i/>
    </w:rPr>
  </w:style>
  <w:style w:type="character" w:styleId="777" w:customStyle="1">
    <w:name w:val="Intense Quote Char"/>
    <w:uiPriority w:val="30"/>
    <w:rPr>
      <w:i/>
    </w:rPr>
  </w:style>
  <w:style w:type="character" w:styleId="778" w:customStyle="1">
    <w:name w:val="Endnote Text Char"/>
    <w:uiPriority w:val="99"/>
    <w:rPr>
      <w:sz w:val="20"/>
    </w:rPr>
  </w:style>
  <w:style w:type="character" w:styleId="779" w:customStyle="1">
    <w:name w:val="Heading 1 Char"/>
    <w:basedOn w:val="768"/>
    <w:uiPriority w:val="9"/>
    <w:rPr>
      <w:rFonts w:ascii="Arial" w:hAnsi="Arial" w:eastAsia="Arial" w:cs="Arial"/>
      <w:sz w:val="40"/>
      <w:szCs w:val="40"/>
    </w:rPr>
  </w:style>
  <w:style w:type="character" w:styleId="780" w:customStyle="1">
    <w:name w:val="Heading 2 Char"/>
    <w:basedOn w:val="768"/>
    <w:uiPriority w:val="9"/>
    <w:rPr>
      <w:rFonts w:ascii="Arial" w:hAnsi="Arial" w:eastAsia="Arial" w:cs="Arial"/>
      <w:sz w:val="34"/>
    </w:rPr>
  </w:style>
  <w:style w:type="character" w:styleId="781" w:customStyle="1">
    <w:name w:val="Heading 3 Char"/>
    <w:basedOn w:val="768"/>
    <w:uiPriority w:val="9"/>
    <w:rPr>
      <w:rFonts w:ascii="Arial" w:hAnsi="Arial" w:eastAsia="Arial" w:cs="Arial"/>
      <w:sz w:val="30"/>
      <w:szCs w:val="30"/>
    </w:rPr>
  </w:style>
  <w:style w:type="character" w:styleId="782" w:customStyle="1">
    <w:name w:val="Heading 4 Char"/>
    <w:basedOn w:val="768"/>
    <w:uiPriority w:val="9"/>
    <w:rPr>
      <w:rFonts w:ascii="Arial" w:hAnsi="Arial" w:eastAsia="Arial" w:cs="Arial"/>
      <w:b/>
      <w:bCs/>
      <w:sz w:val="26"/>
      <w:szCs w:val="26"/>
    </w:rPr>
  </w:style>
  <w:style w:type="character" w:styleId="783" w:customStyle="1">
    <w:name w:val="Заголовок 5 Знак"/>
    <w:basedOn w:val="768"/>
    <w:link w:val="763"/>
    <w:uiPriority w:val="9"/>
    <w:rPr>
      <w:rFonts w:ascii="Arial" w:hAnsi="Arial" w:eastAsia="Arial" w:cs="Arial"/>
      <w:b/>
      <w:bCs/>
      <w:sz w:val="24"/>
      <w:szCs w:val="24"/>
    </w:rPr>
  </w:style>
  <w:style w:type="character" w:styleId="784" w:customStyle="1">
    <w:name w:val="Заголовок 6 Знак"/>
    <w:basedOn w:val="768"/>
    <w:link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85" w:customStyle="1">
    <w:name w:val="Заголовок 7 Знак"/>
    <w:basedOn w:val="768"/>
    <w:link w:val="7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6" w:customStyle="1">
    <w:name w:val="Заголовок 8 Знак"/>
    <w:basedOn w:val="768"/>
    <w:link w:val="766"/>
    <w:uiPriority w:val="9"/>
    <w:rPr>
      <w:rFonts w:ascii="Arial" w:hAnsi="Arial" w:eastAsia="Arial" w:cs="Arial"/>
      <w:i/>
      <w:iCs/>
      <w:sz w:val="22"/>
      <w:szCs w:val="22"/>
    </w:rPr>
  </w:style>
  <w:style w:type="character" w:styleId="787" w:customStyle="1">
    <w:name w:val="Заголовок 9 Знак"/>
    <w:basedOn w:val="768"/>
    <w:link w:val="767"/>
    <w:uiPriority w:val="9"/>
    <w:rPr>
      <w:rFonts w:ascii="Arial" w:hAnsi="Arial" w:eastAsia="Arial" w:cs="Arial"/>
      <w:i/>
      <w:iCs/>
      <w:sz w:val="21"/>
      <w:szCs w:val="21"/>
    </w:rPr>
  </w:style>
  <w:style w:type="paragraph" w:styleId="788">
    <w:name w:val="No Spacing"/>
    <w:uiPriority w:val="1"/>
    <w:qFormat/>
  </w:style>
  <w:style w:type="character" w:styleId="789" w:customStyle="1">
    <w:name w:val="Title Char"/>
    <w:basedOn w:val="768"/>
    <w:uiPriority w:val="10"/>
    <w:rPr>
      <w:sz w:val="48"/>
      <w:szCs w:val="48"/>
    </w:rPr>
  </w:style>
  <w:style w:type="character" w:styleId="790" w:customStyle="1">
    <w:name w:val="Subtitle Char"/>
    <w:basedOn w:val="768"/>
    <w:uiPriority w:val="11"/>
    <w:rPr>
      <w:sz w:val="24"/>
      <w:szCs w:val="24"/>
    </w:rPr>
  </w:style>
  <w:style w:type="paragraph" w:styleId="791">
    <w:name w:val="Quote"/>
    <w:basedOn w:val="758"/>
    <w:next w:val="758"/>
    <w:link w:val="792"/>
    <w:uiPriority w:val="29"/>
    <w:qFormat/>
    <w:pPr>
      <w:ind w:left="720" w:right="720"/>
    </w:pPr>
    <w:rPr>
      <w:i/>
    </w:rPr>
  </w:style>
  <w:style w:type="character" w:styleId="792" w:customStyle="1">
    <w:name w:val="Цитата 2 Знак"/>
    <w:link w:val="791"/>
    <w:uiPriority w:val="29"/>
    <w:rPr>
      <w:i/>
    </w:rPr>
  </w:style>
  <w:style w:type="paragraph" w:styleId="793">
    <w:name w:val="Intense Quote"/>
    <w:basedOn w:val="758"/>
    <w:next w:val="758"/>
    <w:link w:val="79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4" w:customStyle="1">
    <w:name w:val="Выделенная цитата Знак"/>
    <w:link w:val="793"/>
    <w:uiPriority w:val="30"/>
    <w:rPr>
      <w:i/>
    </w:rPr>
  </w:style>
  <w:style w:type="character" w:styleId="795" w:customStyle="1">
    <w:name w:val="Header Char"/>
    <w:basedOn w:val="768"/>
    <w:uiPriority w:val="99"/>
  </w:style>
  <w:style w:type="character" w:styleId="796" w:customStyle="1">
    <w:name w:val="Footer Char"/>
    <w:basedOn w:val="768"/>
    <w:uiPriority w:val="99"/>
  </w:style>
  <w:style w:type="character" w:styleId="797" w:customStyle="1">
    <w:name w:val="Caption Char"/>
    <w:uiPriority w:val="99"/>
  </w:style>
  <w:style w:type="table" w:styleId="798" w:customStyle="1">
    <w:name w:val="Table Grid Light"/>
    <w:basedOn w:val="76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>
    <w:name w:val="Plain Table 1"/>
    <w:basedOn w:val="76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2"/>
    <w:basedOn w:val="769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3"/>
    <w:basedOn w:val="7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2">
    <w:name w:val="Plain Table 4"/>
    <w:basedOn w:val="7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Plain Table 5"/>
    <w:basedOn w:val="7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4">
    <w:name w:val="Grid Table 1 Light"/>
    <w:basedOn w:val="769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1"/>
    <w:basedOn w:val="769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2"/>
    <w:basedOn w:val="769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3"/>
    <w:basedOn w:val="769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4"/>
    <w:basedOn w:val="769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5"/>
    <w:basedOn w:val="769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6"/>
    <w:basedOn w:val="769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2"/>
    <w:basedOn w:val="76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1"/>
    <w:basedOn w:val="769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2"/>
    <w:basedOn w:val="769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3"/>
    <w:basedOn w:val="769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4"/>
    <w:basedOn w:val="769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5"/>
    <w:basedOn w:val="769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6"/>
    <w:basedOn w:val="769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"/>
    <w:basedOn w:val="76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1"/>
    <w:basedOn w:val="769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2"/>
    <w:basedOn w:val="769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3"/>
    <w:basedOn w:val="769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4"/>
    <w:basedOn w:val="769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5"/>
    <w:basedOn w:val="769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6"/>
    <w:basedOn w:val="769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4"/>
    <w:basedOn w:val="769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6" w:customStyle="1">
    <w:name w:val="Grid Table 4 - Accent 1"/>
    <w:basedOn w:val="769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27" w:customStyle="1">
    <w:name w:val="Grid Table 4 - Accent 2"/>
    <w:basedOn w:val="769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28" w:customStyle="1">
    <w:name w:val="Grid Table 4 - Accent 3"/>
    <w:basedOn w:val="769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29" w:customStyle="1">
    <w:name w:val="Grid Table 4 - Accent 4"/>
    <w:basedOn w:val="769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30" w:customStyle="1">
    <w:name w:val="Grid Table 4 - Accent 5"/>
    <w:basedOn w:val="769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31" w:customStyle="1">
    <w:name w:val="Grid Table 4 - Accent 6"/>
    <w:basedOn w:val="769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32">
    <w:name w:val="Grid Table 5 Dark"/>
    <w:basedOn w:val="7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- Accent 1"/>
    <w:basedOn w:val="7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2"/>
    <w:basedOn w:val="7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3"/>
    <w:basedOn w:val="7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- Accent 4"/>
    <w:basedOn w:val="7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5"/>
    <w:basedOn w:val="7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6"/>
    <w:basedOn w:val="7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39">
    <w:name w:val="Grid Table 6 Colorful"/>
    <w:basedOn w:val="76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0" w:customStyle="1">
    <w:name w:val="Grid Table 6 Colorful - Accent 1"/>
    <w:basedOn w:val="769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41" w:customStyle="1">
    <w:name w:val="Grid Table 6 Colorful - Accent 2"/>
    <w:basedOn w:val="76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42" w:customStyle="1">
    <w:name w:val="Grid Table 6 Colorful - Accent 3"/>
    <w:basedOn w:val="769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43" w:customStyle="1">
    <w:name w:val="Grid Table 6 Colorful - Accent 4"/>
    <w:basedOn w:val="76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4" w:customStyle="1">
    <w:name w:val="Grid Table 6 Colorful - Accent 5"/>
    <w:basedOn w:val="769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5" w:customStyle="1">
    <w:name w:val="Grid Table 6 Colorful - Accent 6"/>
    <w:basedOn w:val="769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6">
    <w:name w:val="Grid Table 7 Colorful"/>
    <w:basedOn w:val="769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1"/>
    <w:basedOn w:val="769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2"/>
    <w:basedOn w:val="769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3"/>
    <w:basedOn w:val="769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4"/>
    <w:basedOn w:val="769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5"/>
    <w:basedOn w:val="769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6"/>
    <w:basedOn w:val="769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"/>
    <w:basedOn w:val="7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1"/>
    <w:basedOn w:val="7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2"/>
    <w:basedOn w:val="7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3"/>
    <w:basedOn w:val="7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4"/>
    <w:basedOn w:val="7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5"/>
    <w:basedOn w:val="7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6"/>
    <w:basedOn w:val="7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2"/>
    <w:basedOn w:val="769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1"/>
    <w:basedOn w:val="769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2"/>
    <w:basedOn w:val="769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3"/>
    <w:basedOn w:val="769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4"/>
    <w:basedOn w:val="769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5"/>
    <w:basedOn w:val="769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6"/>
    <w:basedOn w:val="769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67">
    <w:name w:val="List Table 3"/>
    <w:basedOn w:val="76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1"/>
    <w:basedOn w:val="769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2"/>
    <w:basedOn w:val="76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3"/>
    <w:basedOn w:val="769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4"/>
    <w:basedOn w:val="76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5"/>
    <w:basedOn w:val="769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6"/>
    <w:basedOn w:val="769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"/>
    <w:basedOn w:val="76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1"/>
    <w:basedOn w:val="769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2"/>
    <w:basedOn w:val="769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3"/>
    <w:basedOn w:val="769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4"/>
    <w:basedOn w:val="769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5"/>
    <w:basedOn w:val="769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6"/>
    <w:basedOn w:val="769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5 Dark"/>
    <w:basedOn w:val="76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1"/>
    <w:basedOn w:val="769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2"/>
    <w:basedOn w:val="76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3"/>
    <w:basedOn w:val="769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4"/>
    <w:basedOn w:val="76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5"/>
    <w:basedOn w:val="769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6"/>
    <w:basedOn w:val="769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>
    <w:name w:val="List Table 6 Colorful"/>
    <w:basedOn w:val="76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9" w:customStyle="1">
    <w:name w:val="List Table 6 Colorful - Accent 1"/>
    <w:basedOn w:val="769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90" w:customStyle="1">
    <w:name w:val="List Table 6 Colorful - Accent 2"/>
    <w:basedOn w:val="76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91" w:customStyle="1">
    <w:name w:val="List Table 6 Colorful - Accent 3"/>
    <w:basedOn w:val="769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92" w:customStyle="1">
    <w:name w:val="List Table 6 Colorful - Accent 4"/>
    <w:basedOn w:val="76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93" w:customStyle="1">
    <w:name w:val="List Table 6 Colorful - Accent 5"/>
    <w:basedOn w:val="769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94" w:customStyle="1">
    <w:name w:val="List Table 6 Colorful - Accent 6"/>
    <w:basedOn w:val="769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95">
    <w:name w:val="List Table 7 Colorful"/>
    <w:basedOn w:val="769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1"/>
    <w:basedOn w:val="769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2"/>
    <w:basedOn w:val="769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3"/>
    <w:basedOn w:val="769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4"/>
    <w:basedOn w:val="769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5"/>
    <w:basedOn w:val="769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6"/>
    <w:basedOn w:val="769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ned - Accent"/>
    <w:basedOn w:val="76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3" w:customStyle="1">
    <w:name w:val="Lined - Accent 1"/>
    <w:basedOn w:val="76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04" w:customStyle="1">
    <w:name w:val="Lined - Accent 2"/>
    <w:basedOn w:val="76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5" w:customStyle="1">
    <w:name w:val="Lined - Accent 3"/>
    <w:basedOn w:val="76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6" w:customStyle="1">
    <w:name w:val="Lined - Accent 4"/>
    <w:basedOn w:val="76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7" w:customStyle="1">
    <w:name w:val="Lined - Accent 5"/>
    <w:basedOn w:val="76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08" w:customStyle="1">
    <w:name w:val="Lined - Accent 6"/>
    <w:basedOn w:val="76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9" w:customStyle="1">
    <w:name w:val="Bordered &amp; Lined - Accent"/>
    <w:basedOn w:val="76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Bordered &amp; Lined - Accent 1"/>
    <w:basedOn w:val="76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11" w:customStyle="1">
    <w:name w:val="Bordered &amp; Lined - Accent 2"/>
    <w:basedOn w:val="76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2" w:customStyle="1">
    <w:name w:val="Bordered &amp; Lined - Accent 3"/>
    <w:basedOn w:val="76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3" w:customStyle="1">
    <w:name w:val="Bordered &amp; Lined - Accent 4"/>
    <w:basedOn w:val="76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4" w:customStyle="1">
    <w:name w:val="Bordered &amp; Lined - Accent 5"/>
    <w:basedOn w:val="76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15" w:customStyle="1">
    <w:name w:val="Bordered &amp; Lined - Accent 6"/>
    <w:basedOn w:val="76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6" w:customStyle="1">
    <w:name w:val="Bordered"/>
    <w:basedOn w:val="769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7" w:customStyle="1">
    <w:name w:val="Bordered - Accent 1"/>
    <w:basedOn w:val="769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18" w:customStyle="1">
    <w:name w:val="Bordered - Accent 2"/>
    <w:basedOn w:val="769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19" w:customStyle="1">
    <w:name w:val="Bordered - Accent 3"/>
    <w:basedOn w:val="769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20" w:customStyle="1">
    <w:name w:val="Bordered - Accent 4"/>
    <w:basedOn w:val="769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21" w:customStyle="1">
    <w:name w:val="Bordered - Accent 5"/>
    <w:basedOn w:val="769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22" w:customStyle="1">
    <w:name w:val="Bordered - Accent 6"/>
    <w:basedOn w:val="769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23" w:customStyle="1">
    <w:name w:val="Footnote Text Char"/>
    <w:uiPriority w:val="99"/>
    <w:rPr>
      <w:sz w:val="18"/>
    </w:rPr>
  </w:style>
  <w:style w:type="paragraph" w:styleId="924">
    <w:name w:val="endnote text"/>
    <w:basedOn w:val="758"/>
    <w:link w:val="925"/>
    <w:uiPriority w:val="99"/>
    <w:semiHidden/>
    <w:unhideWhenUsed/>
    <w:pPr>
      <w:spacing w:after="0" w:line="240" w:lineRule="auto"/>
    </w:pPr>
    <w:rPr>
      <w:sz w:val="20"/>
    </w:rPr>
  </w:style>
  <w:style w:type="character" w:styleId="925" w:customStyle="1">
    <w:name w:val="Текст концевой сноски Знак"/>
    <w:link w:val="924"/>
    <w:uiPriority w:val="99"/>
    <w:rPr>
      <w:sz w:val="20"/>
    </w:rPr>
  </w:style>
  <w:style w:type="character" w:styleId="926">
    <w:name w:val="endnote reference"/>
    <w:basedOn w:val="768"/>
    <w:uiPriority w:val="99"/>
    <w:semiHidden/>
    <w:unhideWhenUsed/>
    <w:rPr>
      <w:vertAlign w:val="superscript"/>
    </w:rPr>
  </w:style>
  <w:style w:type="paragraph" w:styleId="927">
    <w:name w:val="table of figures"/>
    <w:basedOn w:val="758"/>
    <w:next w:val="758"/>
    <w:uiPriority w:val="99"/>
    <w:unhideWhenUsed/>
    <w:pPr>
      <w:spacing w:after="0"/>
    </w:pPr>
  </w:style>
  <w:style w:type="character" w:styleId="928" w:customStyle="1">
    <w:name w:val="Заголовок 1 Знак"/>
    <w:link w:val="759"/>
    <w:uiPriority w:val="99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929" w:customStyle="1">
    <w:name w:val="Заголовок 2 Знак"/>
    <w:link w:val="76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30" w:customStyle="1">
    <w:name w:val="Заголовок 3 Знак"/>
    <w:link w:val="761"/>
    <w:rPr>
      <w:rFonts w:ascii="Cambria" w:hAnsi="Cambria" w:eastAsia="Times New Roman" w:cs="Times New Roman"/>
      <w:b/>
      <w:bCs/>
      <w:sz w:val="26"/>
      <w:szCs w:val="26"/>
    </w:rPr>
  </w:style>
  <w:style w:type="character" w:styleId="931" w:customStyle="1">
    <w:name w:val="Заголовок 4 Знак"/>
    <w:link w:val="762"/>
    <w:rPr>
      <w:rFonts w:ascii="Cambria" w:hAnsi="Cambria" w:eastAsia="Times New Roman" w:cs="Times New Roman"/>
      <w:b/>
      <w:bCs/>
      <w:i/>
      <w:iCs/>
      <w:color w:val="4f81bd"/>
    </w:rPr>
  </w:style>
  <w:style w:type="paragraph" w:styleId="932">
    <w:name w:val="List Paragraph"/>
    <w:basedOn w:val="758"/>
    <w:qFormat/>
    <w:pPr>
      <w:contextualSpacing/>
      <w:ind w:left="720"/>
    </w:pPr>
  </w:style>
  <w:style w:type="paragraph" w:styleId="933" w:customStyle="1">
    <w:name w:val="Абзац списка1"/>
    <w:basedOn w:val="758"/>
    <w:link w:val="934"/>
    <w:uiPriority w:val="99"/>
    <w:pPr>
      <w:ind w:left="720"/>
    </w:pPr>
    <w:rPr>
      <w:rFonts w:cs="Calibri"/>
    </w:rPr>
  </w:style>
  <w:style w:type="character" w:styleId="934" w:customStyle="1">
    <w:name w:val="Абзац списка Знак"/>
    <w:link w:val="933"/>
    <w:uiPriority w:val="99"/>
    <w:rPr>
      <w:rFonts w:ascii="Calibri" w:hAnsi="Calibri" w:eastAsia="Times New Roman" w:cs="Calibri"/>
    </w:rPr>
  </w:style>
  <w:style w:type="paragraph" w:styleId="935" w:customStyle="1">
    <w:name w:val="S_Обычный жирный"/>
    <w:basedOn w:val="758"/>
    <w:uiPriority w:val="99"/>
    <w:qFormat/>
    <w:pPr>
      <w:ind w:firstLine="709"/>
      <w:spacing w:after="0" w:line="240" w:lineRule="auto"/>
    </w:pPr>
    <w:rPr>
      <w:szCs w:val="24"/>
    </w:rPr>
  </w:style>
  <w:style w:type="paragraph" w:styleId="936">
    <w:name w:val="Body Text 2"/>
    <w:basedOn w:val="758"/>
    <w:link w:val="937"/>
    <w:uiPriority w:val="99"/>
    <w:pPr>
      <w:spacing w:after="120" w:line="480" w:lineRule="auto"/>
    </w:pPr>
    <w:rPr>
      <w:sz w:val="24"/>
      <w:szCs w:val="24"/>
    </w:rPr>
  </w:style>
  <w:style w:type="character" w:styleId="937" w:customStyle="1">
    <w:name w:val="Основной текст 2 Знак"/>
    <w:link w:val="93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8">
    <w:name w:val="Body Text"/>
    <w:basedOn w:val="758"/>
    <w:link w:val="939"/>
    <w:uiPriority w:val="99"/>
    <w:unhideWhenUsed/>
    <w:pPr>
      <w:spacing w:after="120"/>
    </w:pPr>
  </w:style>
  <w:style w:type="character" w:styleId="939" w:customStyle="1">
    <w:name w:val="Основной текст Знак"/>
    <w:basedOn w:val="768"/>
    <w:link w:val="938"/>
    <w:uiPriority w:val="99"/>
  </w:style>
  <w:style w:type="paragraph" w:styleId="940" w:customStyle="1">
    <w:name w:val="Обычный (Web)"/>
    <w:basedOn w:val="758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941">
    <w:name w:val="Balloon Text"/>
    <w:basedOn w:val="758"/>
    <w:link w:val="94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42" w:customStyle="1">
    <w:name w:val="Текст выноски Знак"/>
    <w:link w:val="941"/>
    <w:uiPriority w:val="99"/>
    <w:semiHidden/>
    <w:rPr>
      <w:rFonts w:ascii="Tahoma" w:hAnsi="Tahoma" w:cs="Tahoma"/>
      <w:sz w:val="16"/>
      <w:szCs w:val="16"/>
    </w:rPr>
  </w:style>
  <w:style w:type="paragraph" w:styleId="943">
    <w:name w:val="Normal (Web)"/>
    <w:basedOn w:val="758"/>
    <w:uiPriority w:val="99"/>
    <w:unhideWhenUsed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944">
    <w:name w:val="Strong"/>
    <w:qFormat/>
    <w:rPr>
      <w:b/>
      <w:bCs/>
    </w:rPr>
  </w:style>
  <w:style w:type="paragraph" w:styleId="945" w:customStyle="1">
    <w:name w:val="Заголовок (Уровень 2)"/>
    <w:basedOn w:val="758"/>
    <w:next w:val="938"/>
    <w:link w:val="946"/>
    <w:qFormat/>
    <w:pPr>
      <w:ind w:left="284" w:hanging="284"/>
      <w:jc w:val="center"/>
      <w:spacing w:after="0" w:line="240" w:lineRule="auto"/>
      <w:outlineLvl w:val="0"/>
    </w:pPr>
    <w:rPr>
      <w:b/>
      <w:bCs/>
      <w:sz w:val="26"/>
      <w:szCs w:val="26"/>
    </w:rPr>
  </w:style>
  <w:style w:type="character" w:styleId="946" w:customStyle="1">
    <w:name w:val="Заголовок (Уровень 2) Знак"/>
    <w:link w:val="945"/>
    <w:rPr>
      <w:rFonts w:ascii="Times New Roman" w:hAnsi="Times New Roman" w:eastAsia="Times New Roman" w:cs="Times New Roman"/>
      <w:b/>
      <w:bCs/>
      <w:sz w:val="26"/>
      <w:szCs w:val="26"/>
      <w:lang w:eastAsia="ru-RU"/>
    </w:rPr>
  </w:style>
  <w:style w:type="table" w:styleId="947">
    <w:name w:val="Table Grid"/>
    <w:basedOn w:val="76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48" w:customStyle="1">
    <w:name w:val="Список_нумерованный_1_уровень"/>
    <w:link w:val="949"/>
    <w:uiPriority w:val="99"/>
    <w:pPr>
      <w:numPr>
        <w:ilvl w:val="0"/>
        <w:numId w:val="1"/>
      </w:numPr>
      <w:jc w:val="both"/>
      <w:spacing w:before="60" w:after="100"/>
    </w:pPr>
    <w:rPr>
      <w:rFonts w:ascii="Times New Roman" w:hAnsi="Times New Roman"/>
      <w:sz w:val="24"/>
      <w:szCs w:val="24"/>
    </w:rPr>
  </w:style>
  <w:style w:type="character" w:styleId="949" w:customStyle="1">
    <w:name w:val="Список_нумерованный_1_уровень Знак"/>
    <w:link w:val="948"/>
    <w:uiPriority w:val="99"/>
    <w:rPr>
      <w:rFonts w:ascii="Times New Roman" w:hAnsi="Times New Roman"/>
      <w:sz w:val="24"/>
      <w:szCs w:val="24"/>
    </w:rPr>
  </w:style>
  <w:style w:type="paragraph" w:styleId="950" w:customStyle="1">
    <w:name w:val="Список_нумерованный_2_уровень"/>
    <w:basedOn w:val="948"/>
    <w:uiPriority w:val="99"/>
    <w:pPr>
      <w:numPr>
        <w:ilvl w:val="1"/>
      </w:numPr>
      <w:ind w:left="794" w:hanging="397"/>
    </w:pPr>
  </w:style>
  <w:style w:type="paragraph" w:styleId="951" w:customStyle="1">
    <w:name w:val="Список_нумерованный_3_уровень"/>
    <w:basedOn w:val="948"/>
    <w:uiPriority w:val="99"/>
    <w:pPr>
      <w:numPr>
        <w:ilvl w:val="2"/>
      </w:numPr>
      <w:ind w:left="1191" w:hanging="397"/>
    </w:pPr>
  </w:style>
  <w:style w:type="table" w:styleId="952" w:customStyle="1">
    <w:name w:val="Сетка таблицы1"/>
    <w:rPr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53" w:customStyle="1">
    <w:name w:val="Стиль По ширине Перед:  6 пт"/>
    <w:basedOn w:val="758"/>
    <w:pPr>
      <w:ind w:firstLine="709"/>
      <w:spacing w:after="0" w:line="240" w:lineRule="auto"/>
    </w:pPr>
    <w:rPr>
      <w:color w:val="000000"/>
      <w:sz w:val="26"/>
      <w:szCs w:val="26"/>
    </w:rPr>
  </w:style>
  <w:style w:type="paragraph" w:styleId="954">
    <w:name w:val="Subtitle"/>
    <w:basedOn w:val="758"/>
    <w:next w:val="758"/>
    <w:link w:val="955"/>
    <w:qFormat/>
    <w:pPr>
      <w:ind w:firstLine="709"/>
      <w:spacing w:after="60" w:line="240" w:lineRule="auto"/>
      <w:widowControl w:val="off"/>
      <w:outlineLvl w:val="1"/>
    </w:pPr>
    <w:rPr>
      <w:szCs w:val="28"/>
    </w:rPr>
  </w:style>
  <w:style w:type="character" w:styleId="955" w:customStyle="1">
    <w:name w:val="Подзаголовок Знак"/>
    <w:link w:val="954"/>
    <w:rPr>
      <w:rFonts w:ascii="Times New Roman" w:hAnsi="Times New Roman" w:eastAsia="Times New Roman" w:cs="Times New Roman"/>
      <w:sz w:val="28"/>
      <w:szCs w:val="28"/>
    </w:rPr>
  </w:style>
  <w:style w:type="paragraph" w:styleId="956" w:customStyle="1">
    <w:name w:val="Прижатый влево"/>
    <w:basedOn w:val="758"/>
    <w:next w:val="758"/>
    <w:uiPriority w:val="99"/>
    <w:pPr>
      <w:spacing w:after="0" w:line="240" w:lineRule="auto"/>
      <w:widowControl w:val="off"/>
    </w:pPr>
    <w:rPr>
      <w:rFonts w:ascii="Arial" w:hAnsi="Arial" w:cs="Arial"/>
      <w:sz w:val="24"/>
      <w:szCs w:val="24"/>
    </w:rPr>
  </w:style>
  <w:style w:type="character" w:styleId="957" w:customStyle="1">
    <w:name w:val="Цветовое выделение"/>
    <w:uiPriority w:val="99"/>
    <w:rPr>
      <w:b/>
      <w:bCs/>
      <w:color w:val="000080"/>
    </w:rPr>
  </w:style>
  <w:style w:type="paragraph" w:styleId="958" w:customStyle="1">
    <w:name w:val="Маркированный"/>
    <w:basedOn w:val="758"/>
    <w:pPr>
      <w:numPr>
        <w:ilvl w:val="0"/>
        <w:numId w:val="2"/>
      </w:numPr>
      <w:spacing w:after="0" w:line="240" w:lineRule="auto"/>
    </w:pPr>
    <w:rPr>
      <w:szCs w:val="28"/>
    </w:rPr>
  </w:style>
  <w:style w:type="paragraph" w:styleId="959" w:customStyle="1">
    <w:name w:val="Стиль1"/>
    <w:basedOn w:val="758"/>
    <w:link w:val="960"/>
    <w:qFormat/>
    <w:pPr>
      <w:spacing w:after="0" w:line="240" w:lineRule="auto"/>
      <w:widowControl w:val="off"/>
    </w:pPr>
    <w:rPr>
      <w:sz w:val="26"/>
      <w:szCs w:val="26"/>
    </w:rPr>
  </w:style>
  <w:style w:type="character" w:styleId="960" w:customStyle="1">
    <w:name w:val="Стиль1 Знак"/>
    <w:link w:val="959"/>
    <w:rPr>
      <w:rFonts w:ascii="Times New Roman" w:hAnsi="Times New Roman" w:eastAsia="Times New Roman" w:cs="Times New Roman"/>
      <w:sz w:val="26"/>
      <w:szCs w:val="26"/>
    </w:rPr>
  </w:style>
  <w:style w:type="paragraph" w:styleId="961" w:customStyle="1">
    <w:name w:val="ConsPlusNormal"/>
    <w:link w:val="1035"/>
    <w:pPr>
      <w:widowControl w:val="off"/>
    </w:pPr>
    <w:rPr>
      <w:rFonts w:cs="Calibri"/>
      <w:sz w:val="22"/>
    </w:rPr>
  </w:style>
  <w:style w:type="paragraph" w:styleId="962" w:customStyle="1">
    <w:name w:val="ConsPlusTitle"/>
    <w:pPr>
      <w:widowControl w:val="off"/>
    </w:pPr>
    <w:rPr>
      <w:rFonts w:cs="Calibri"/>
      <w:b/>
      <w:sz w:val="22"/>
    </w:rPr>
  </w:style>
  <w:style w:type="paragraph" w:styleId="963">
    <w:name w:val="annotation text"/>
    <w:basedOn w:val="758"/>
    <w:link w:val="964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64" w:customStyle="1">
    <w:name w:val="Текст примечания Знак"/>
    <w:link w:val="963"/>
    <w:uiPriority w:val="99"/>
    <w:semiHidden/>
    <w:rPr>
      <w:sz w:val="20"/>
      <w:szCs w:val="20"/>
    </w:rPr>
  </w:style>
  <w:style w:type="character" w:styleId="965" w:customStyle="1">
    <w:name w:val="Тема примечания Знак"/>
    <w:link w:val="966"/>
    <w:uiPriority w:val="99"/>
    <w:semiHidden/>
    <w:rPr>
      <w:b/>
      <w:bCs/>
      <w:sz w:val="20"/>
      <w:szCs w:val="20"/>
    </w:rPr>
  </w:style>
  <w:style w:type="paragraph" w:styleId="966">
    <w:name w:val="annotation subject"/>
    <w:basedOn w:val="963"/>
    <w:next w:val="963"/>
    <w:link w:val="965"/>
    <w:uiPriority w:val="99"/>
    <w:semiHidden/>
    <w:unhideWhenUsed/>
    <w:rPr>
      <w:b/>
      <w:bCs/>
    </w:rPr>
  </w:style>
  <w:style w:type="paragraph" w:styleId="967">
    <w:name w:val="Footer"/>
    <w:basedOn w:val="758"/>
    <w:link w:val="968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Arial" w:hAnsi="Arial" w:cs="Arial"/>
      <w:sz w:val="20"/>
      <w:szCs w:val="20"/>
    </w:rPr>
  </w:style>
  <w:style w:type="character" w:styleId="968" w:customStyle="1">
    <w:name w:val="Нижний колонтитул Знак"/>
    <w:link w:val="967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969">
    <w:name w:val="page number"/>
    <w:basedOn w:val="768"/>
    <w:uiPriority w:val="99"/>
  </w:style>
  <w:style w:type="paragraph" w:styleId="970" w:customStyle="1">
    <w:name w:val="Îáû÷íûé"/>
    <w:uiPriority w:val="99"/>
    <w:pPr>
      <w:jc w:val="both"/>
    </w:pPr>
    <w:rPr>
      <w:rFonts w:ascii="Times New Roman" w:hAnsi="Times New Roman"/>
      <w:sz w:val="24"/>
    </w:rPr>
  </w:style>
  <w:style w:type="paragraph" w:styleId="971">
    <w:name w:val="toc 2"/>
    <w:basedOn w:val="758"/>
    <w:next w:val="758"/>
    <w:uiPriority w:val="39"/>
    <w:pPr>
      <w:contextualSpacing/>
      <w:ind w:left="284" w:right="-2" w:hanging="284"/>
      <w:spacing w:after="0" w:line="360" w:lineRule="auto"/>
      <w:widowControl w:val="off"/>
      <w:tabs>
        <w:tab w:val="left" w:pos="709" w:leader="none"/>
        <w:tab w:val="left" w:pos="993" w:leader="none"/>
        <w:tab w:val="right" w:pos="9923" w:leader="dot"/>
      </w:tabs>
    </w:pPr>
    <w:rPr>
      <w:b/>
      <w:sz w:val="24"/>
      <w:szCs w:val="24"/>
    </w:rPr>
  </w:style>
  <w:style w:type="character" w:styleId="972">
    <w:name w:val="Hyperlink"/>
    <w:uiPriority w:val="99"/>
    <w:rPr>
      <w:color w:val="0000ff"/>
      <w:u w:val="single"/>
    </w:rPr>
  </w:style>
  <w:style w:type="paragraph" w:styleId="973">
    <w:name w:val="Header"/>
    <w:basedOn w:val="758"/>
    <w:link w:val="974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Arial" w:hAnsi="Arial" w:cs="Arial"/>
      <w:sz w:val="20"/>
      <w:szCs w:val="20"/>
    </w:rPr>
  </w:style>
  <w:style w:type="character" w:styleId="974" w:customStyle="1">
    <w:name w:val="Верхний колонтитул Знак"/>
    <w:link w:val="973"/>
    <w:rPr>
      <w:rFonts w:ascii="Arial" w:hAnsi="Arial" w:eastAsia="Times New Roman" w:cs="Arial"/>
      <w:sz w:val="20"/>
      <w:szCs w:val="20"/>
      <w:lang w:eastAsia="ru-RU"/>
    </w:rPr>
  </w:style>
  <w:style w:type="paragraph" w:styleId="975" w:customStyle="1">
    <w:name w:val="Arial Narrow 13 pt по ширине Первая строка:  1 см"/>
    <w:basedOn w:val="970"/>
    <w:uiPriority w:val="99"/>
  </w:style>
  <w:style w:type="paragraph" w:styleId="976" w:customStyle="1">
    <w:name w:val="аква3"/>
    <w:basedOn w:val="758"/>
    <w:uiPriority w:val="99"/>
    <w:pPr>
      <w:ind w:firstLine="709"/>
      <w:spacing w:after="0" w:line="360" w:lineRule="auto"/>
    </w:pPr>
    <w:rPr>
      <w:rFonts w:ascii="Book Antiqua" w:hAnsi="Book Antiqua"/>
      <w:szCs w:val="24"/>
    </w:rPr>
  </w:style>
  <w:style w:type="paragraph" w:styleId="977" w:customStyle="1">
    <w:name w:val="аква"/>
    <w:basedOn w:val="758"/>
    <w:uiPriority w:val="99"/>
    <w:pPr>
      <w:ind w:firstLine="709"/>
      <w:spacing w:after="0" w:line="240" w:lineRule="auto"/>
    </w:pPr>
    <w:rPr>
      <w:rFonts w:ascii="Book Antiqua" w:hAnsi="Book Antiqua"/>
      <w:szCs w:val="24"/>
    </w:rPr>
  </w:style>
  <w:style w:type="paragraph" w:styleId="978" w:customStyle="1">
    <w:name w:val="NAmber"/>
    <w:basedOn w:val="977"/>
    <w:uiPriority w:val="99"/>
    <w:pPr>
      <w:jc w:val="center"/>
    </w:pPr>
    <w:rPr>
      <w:rFonts w:ascii="gaze" w:hAnsi="gaze"/>
      <w:b/>
      <w:bCs/>
      <w:sz w:val="36"/>
    </w:rPr>
  </w:style>
  <w:style w:type="paragraph" w:styleId="979" w:customStyle="1">
    <w:name w:val="аквамарин"/>
    <w:basedOn w:val="977"/>
    <w:uiPriority w:val="99"/>
    <w:pPr>
      <w:jc w:val="center"/>
      <w:keepLines/>
      <w:spacing w:line="360" w:lineRule="auto"/>
    </w:pPr>
    <w:rPr>
      <w:rFonts w:ascii="Monotype Corsiva" w:hAnsi="Monotype Corsiva"/>
    </w:rPr>
  </w:style>
  <w:style w:type="paragraph" w:styleId="980" w:customStyle="1">
    <w:name w:val="Стиль аква5 + 14 пт"/>
    <w:basedOn w:val="758"/>
    <w:uiPriority w:val="99"/>
    <w:pPr>
      <w:jc w:val="center"/>
      <w:spacing w:after="0" w:line="360" w:lineRule="auto"/>
    </w:pPr>
    <w:rPr>
      <w:rFonts w:ascii="Arial" w:hAnsi="Arial"/>
      <w:sz w:val="24"/>
      <w:szCs w:val="24"/>
    </w:rPr>
  </w:style>
  <w:style w:type="paragraph" w:styleId="981" w:customStyle="1">
    <w:name w:val="Реферат"/>
    <w:basedOn w:val="758"/>
    <w:uiPriority w:val="99"/>
    <w:pPr>
      <w:ind w:firstLine="709"/>
      <w:spacing w:after="0" w:line="360" w:lineRule="auto"/>
    </w:pPr>
    <w:rPr>
      <w:sz w:val="24"/>
      <w:szCs w:val="24"/>
    </w:rPr>
  </w:style>
  <w:style w:type="paragraph" w:styleId="982" w:customStyle="1">
    <w:name w:val="реферат"/>
    <w:basedOn w:val="943"/>
    <w:uiPriority w:val="99"/>
    <w:pPr>
      <w:ind w:firstLine="709"/>
      <w:spacing w:line="360" w:lineRule="auto"/>
    </w:pPr>
  </w:style>
  <w:style w:type="paragraph" w:styleId="983">
    <w:name w:val="Body Text 3"/>
    <w:basedOn w:val="758"/>
    <w:link w:val="984"/>
    <w:uiPriority w:val="99"/>
    <w:pPr>
      <w:spacing w:after="0" w:line="240" w:lineRule="auto"/>
      <w:widowControl w:val="off"/>
    </w:pPr>
    <w:rPr>
      <w:rFonts w:ascii="Courier New" w:hAnsi="Courier New"/>
      <w:szCs w:val="20"/>
    </w:rPr>
  </w:style>
  <w:style w:type="character" w:styleId="984" w:customStyle="1">
    <w:name w:val="Основной текст 3 Знак"/>
    <w:link w:val="983"/>
    <w:uiPriority w:val="99"/>
    <w:rPr>
      <w:rFonts w:ascii="Courier New" w:hAnsi="Courier New" w:eastAsia="Times New Roman" w:cs="Times New Roman"/>
      <w:szCs w:val="20"/>
      <w:lang w:eastAsia="ru-RU"/>
    </w:rPr>
  </w:style>
  <w:style w:type="paragraph" w:styleId="985">
    <w:name w:val="Body Text Indent"/>
    <w:basedOn w:val="758"/>
    <w:link w:val="986"/>
    <w:uiPriority w:val="99"/>
    <w:pPr>
      <w:ind w:left="283"/>
      <w:spacing w:after="120" w:line="240" w:lineRule="auto"/>
    </w:pPr>
    <w:rPr>
      <w:sz w:val="24"/>
      <w:szCs w:val="24"/>
    </w:rPr>
  </w:style>
  <w:style w:type="character" w:styleId="986" w:customStyle="1">
    <w:name w:val="Основной текст с отступом Знак"/>
    <w:link w:val="9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7">
    <w:name w:val="List"/>
    <w:basedOn w:val="758"/>
    <w:uiPriority w:val="99"/>
    <w:pPr>
      <w:ind w:left="283" w:hanging="283"/>
      <w:spacing w:after="0" w:line="240" w:lineRule="auto"/>
    </w:pPr>
    <w:rPr>
      <w:sz w:val="24"/>
      <w:szCs w:val="24"/>
    </w:rPr>
  </w:style>
  <w:style w:type="paragraph" w:styleId="988" w:customStyle="1">
    <w:name w:val="ConsNormal"/>
    <w:pPr>
      <w:ind w:right="19772" w:firstLine="720"/>
      <w:jc w:val="both"/>
    </w:pPr>
    <w:rPr>
      <w:rFonts w:ascii="Arial" w:hAnsi="Arial" w:cs="Arial"/>
    </w:rPr>
  </w:style>
  <w:style w:type="character" w:styleId="989" w:customStyle="1">
    <w:name w:val="fts-hit"/>
    <w:uiPriority w:val="99"/>
    <w:rPr>
      <w:shd w:val="clear" w:color="auto" w:fill="ffc0cb"/>
    </w:rPr>
  </w:style>
  <w:style w:type="paragraph" w:styleId="990">
    <w:name w:val="HTML Preformatted"/>
    <w:basedOn w:val="758"/>
    <w:link w:val="991"/>
    <w:uiPriority w:val="99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991" w:customStyle="1">
    <w:name w:val="Стандартный HTML Знак"/>
    <w:link w:val="990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992" w:customStyle="1">
    <w:name w:val="Iau?iue"/>
    <w:pPr>
      <w:jc w:val="both"/>
      <w:widowControl w:val="off"/>
    </w:pPr>
    <w:rPr>
      <w:rFonts w:ascii="Times New Roman" w:hAnsi="Times New Roman"/>
      <w:lang w:eastAsia="ar-SA"/>
    </w:rPr>
  </w:style>
  <w:style w:type="paragraph" w:styleId="993" w:customStyle="1">
    <w:name w:val="Стиль По ширине Первая строка:  1.25 см"/>
    <w:basedOn w:val="758"/>
    <w:uiPriority w:val="99"/>
    <w:pPr>
      <w:ind w:firstLine="709"/>
      <w:spacing w:before="120" w:after="0" w:line="240" w:lineRule="auto"/>
    </w:pPr>
    <w:rPr>
      <w:sz w:val="24"/>
      <w:szCs w:val="20"/>
    </w:rPr>
  </w:style>
  <w:style w:type="paragraph" w:styleId="994" w:customStyle="1">
    <w:name w:val="zagc-1"/>
    <w:basedOn w:val="758"/>
    <w:uiPriority w:val="99"/>
    <w:pPr>
      <w:ind w:firstLine="150"/>
      <w:jc w:val="center"/>
      <w:spacing w:before="135" w:after="60" w:line="240" w:lineRule="auto"/>
    </w:pPr>
    <w:rPr>
      <w:rFonts w:ascii="Arial" w:hAnsi="Arial" w:cs="Arial"/>
      <w:b/>
      <w:bCs/>
      <w:caps/>
      <w:color w:val="29211e"/>
      <w:sz w:val="20"/>
      <w:szCs w:val="20"/>
    </w:rPr>
  </w:style>
  <w:style w:type="paragraph" w:styleId="995" w:customStyle="1">
    <w:name w:val="Iau?iue3"/>
    <w:uiPriority w:val="99"/>
    <w:pPr>
      <w:jc w:val="both"/>
      <w:widowControl w:val="off"/>
    </w:pPr>
    <w:rPr>
      <w:rFonts w:ascii="Times New Roman" w:hAnsi="Times New Roman"/>
    </w:rPr>
  </w:style>
  <w:style w:type="paragraph" w:styleId="996" w:customStyle="1">
    <w:name w:val="zagc-0"/>
    <w:basedOn w:val="758"/>
    <w:pPr>
      <w:ind w:firstLine="150"/>
      <w:jc w:val="center"/>
      <w:spacing w:before="180" w:after="60" w:line="240" w:lineRule="auto"/>
    </w:pPr>
    <w:rPr>
      <w:rFonts w:ascii="Arial" w:hAnsi="Arial" w:cs="Arial"/>
      <w:b/>
      <w:bCs/>
      <w:caps/>
      <w:color w:val="29211e"/>
      <w:sz w:val="24"/>
      <w:szCs w:val="24"/>
    </w:rPr>
  </w:style>
  <w:style w:type="paragraph" w:styleId="997">
    <w:name w:val="toc 3"/>
    <w:basedOn w:val="758"/>
    <w:next w:val="758"/>
    <w:uiPriority w:val="39"/>
    <w:pPr>
      <w:spacing w:after="0" w:line="240" w:lineRule="auto"/>
      <w:tabs>
        <w:tab w:val="right" w:pos="9345" w:leader="dot"/>
      </w:tabs>
    </w:pPr>
    <w:rPr>
      <w:b/>
      <w:sz w:val="24"/>
      <w:szCs w:val="24"/>
    </w:rPr>
  </w:style>
  <w:style w:type="paragraph" w:styleId="998" w:customStyle="1">
    <w:name w:val="Нормальный (таблица)"/>
    <w:basedOn w:val="758"/>
    <w:next w:val="758"/>
    <w:uiPriority w:val="99"/>
    <w:pPr>
      <w:spacing w:after="0" w:line="240" w:lineRule="auto"/>
      <w:widowControl w:val="off"/>
    </w:pPr>
    <w:rPr>
      <w:rFonts w:ascii="Arial" w:hAnsi="Arial" w:cs="Arial"/>
      <w:sz w:val="24"/>
      <w:szCs w:val="24"/>
    </w:rPr>
  </w:style>
  <w:style w:type="paragraph" w:styleId="999">
    <w:name w:val="toc 1"/>
    <w:basedOn w:val="758"/>
    <w:next w:val="758"/>
    <w:uiPriority w:val="39"/>
    <w:unhideWhenUsed/>
    <w:pPr>
      <w:spacing w:after="0" w:line="240" w:lineRule="auto"/>
      <w:widowControl w:val="off"/>
      <w:tabs>
        <w:tab w:val="right" w:pos="9345" w:leader="dot"/>
      </w:tabs>
    </w:pPr>
    <w:rPr>
      <w:b/>
      <w:sz w:val="24"/>
      <w:szCs w:val="20"/>
    </w:rPr>
  </w:style>
  <w:style w:type="paragraph" w:styleId="1000" w:customStyle="1">
    <w:name w:val="Без интервала1"/>
    <w:link w:val="1001"/>
    <w:uiPriority w:val="99"/>
    <w:qFormat/>
    <w:pPr>
      <w:ind w:firstLine="709"/>
      <w:jc w:val="both"/>
    </w:pPr>
    <w:rPr>
      <w:sz w:val="22"/>
      <w:szCs w:val="22"/>
    </w:rPr>
  </w:style>
  <w:style w:type="character" w:styleId="1001" w:customStyle="1">
    <w:name w:val="Без интервала Знак"/>
    <w:link w:val="1000"/>
    <w:uiPriority w:val="99"/>
    <w:rPr>
      <w:rFonts w:ascii="Calibri" w:hAnsi="Calibri" w:eastAsia="Times New Roman" w:cs="Times New Roman"/>
    </w:rPr>
  </w:style>
  <w:style w:type="paragraph" w:styleId="1002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003">
    <w:name w:val="TOC Heading"/>
    <w:basedOn w:val="759"/>
    <w:next w:val="758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1004">
    <w:name w:val="toc 4"/>
    <w:basedOn w:val="758"/>
    <w:next w:val="758"/>
    <w:uiPriority w:val="39"/>
    <w:unhideWhenUsed/>
    <w:pPr>
      <w:ind w:left="660"/>
      <w:spacing w:after="100"/>
    </w:pPr>
  </w:style>
  <w:style w:type="paragraph" w:styleId="1005">
    <w:name w:val="toc 5"/>
    <w:basedOn w:val="758"/>
    <w:next w:val="758"/>
    <w:uiPriority w:val="39"/>
    <w:unhideWhenUsed/>
    <w:pPr>
      <w:ind w:left="880"/>
      <w:spacing w:after="100"/>
    </w:pPr>
  </w:style>
  <w:style w:type="paragraph" w:styleId="1006">
    <w:name w:val="toc 6"/>
    <w:basedOn w:val="758"/>
    <w:next w:val="758"/>
    <w:uiPriority w:val="39"/>
    <w:unhideWhenUsed/>
    <w:pPr>
      <w:ind w:left="1100"/>
      <w:spacing w:after="100"/>
    </w:pPr>
  </w:style>
  <w:style w:type="paragraph" w:styleId="1007">
    <w:name w:val="toc 7"/>
    <w:basedOn w:val="758"/>
    <w:next w:val="758"/>
    <w:uiPriority w:val="39"/>
    <w:unhideWhenUsed/>
    <w:pPr>
      <w:ind w:left="1320"/>
      <w:spacing w:after="100"/>
    </w:pPr>
  </w:style>
  <w:style w:type="paragraph" w:styleId="1008">
    <w:name w:val="toc 8"/>
    <w:basedOn w:val="758"/>
    <w:next w:val="758"/>
    <w:uiPriority w:val="39"/>
    <w:unhideWhenUsed/>
    <w:pPr>
      <w:ind w:left="1540"/>
      <w:spacing w:after="100"/>
    </w:pPr>
  </w:style>
  <w:style w:type="paragraph" w:styleId="1009">
    <w:name w:val="toc 9"/>
    <w:basedOn w:val="758"/>
    <w:next w:val="758"/>
    <w:uiPriority w:val="39"/>
    <w:unhideWhenUsed/>
    <w:pPr>
      <w:ind w:left="1760"/>
      <w:spacing w:after="100"/>
    </w:pPr>
  </w:style>
  <w:style w:type="character" w:styleId="1010" w:customStyle="1">
    <w:name w:val="WW8Num8z0"/>
    <w:uiPriority w:val="99"/>
    <w:rPr>
      <w:rFonts w:ascii="Symbol" w:hAnsi="Symbol"/>
      <w:sz w:val="18"/>
    </w:rPr>
  </w:style>
  <w:style w:type="paragraph" w:styleId="1011">
    <w:name w:val="Title"/>
    <w:basedOn w:val="758"/>
    <w:link w:val="1012"/>
    <w:qFormat/>
    <w:pPr>
      <w:jc w:val="center"/>
      <w:spacing w:after="0" w:line="240" w:lineRule="auto"/>
    </w:pPr>
    <w:rPr>
      <w:sz w:val="32"/>
      <w:szCs w:val="20"/>
    </w:rPr>
  </w:style>
  <w:style w:type="character" w:styleId="1012" w:customStyle="1">
    <w:name w:val="Название Знак"/>
    <w:link w:val="1011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1013" w:customStyle="1">
    <w:name w:val="Основной текст с отступом 3 Знак"/>
    <w:link w:val="1014"/>
    <w:uiPriority w:val="99"/>
    <w:semiHidden/>
    <w:rPr>
      <w:rFonts w:ascii="Arial" w:hAnsi="Arial" w:eastAsia="Times New Roman" w:cs="Arial"/>
      <w:sz w:val="16"/>
      <w:szCs w:val="16"/>
      <w:lang w:eastAsia="ru-RU"/>
    </w:rPr>
  </w:style>
  <w:style w:type="paragraph" w:styleId="1014">
    <w:name w:val="Body Text Indent 3"/>
    <w:basedOn w:val="758"/>
    <w:link w:val="1013"/>
    <w:uiPriority w:val="99"/>
    <w:semiHidden/>
    <w:unhideWhenUsed/>
    <w:pPr>
      <w:ind w:left="283"/>
      <w:spacing w:after="120" w:line="240" w:lineRule="auto"/>
      <w:widowControl w:val="off"/>
    </w:pPr>
    <w:rPr>
      <w:rFonts w:ascii="Arial" w:hAnsi="Arial" w:cs="Arial"/>
      <w:sz w:val="16"/>
      <w:szCs w:val="16"/>
    </w:rPr>
  </w:style>
  <w:style w:type="character" w:styleId="1015" w:customStyle="1">
    <w:name w:val="Основной текст с отступом 3 Знак1"/>
    <w:uiPriority w:val="99"/>
    <w:semiHidden/>
    <w:rPr>
      <w:sz w:val="16"/>
      <w:szCs w:val="16"/>
    </w:rPr>
  </w:style>
  <w:style w:type="paragraph" w:styleId="1016" w:customStyle="1">
    <w:name w:val="ConsNonformat"/>
    <w:pPr>
      <w:widowControl w:val="off"/>
    </w:pPr>
    <w:rPr>
      <w:rFonts w:ascii="Courier New" w:hAnsi="Courier New" w:cs="Courier New"/>
    </w:rPr>
  </w:style>
  <w:style w:type="paragraph" w:styleId="1017" w:customStyle="1">
    <w:name w:val="ConsCell"/>
    <w:pPr>
      <w:widowControl w:val="off"/>
    </w:pPr>
    <w:rPr>
      <w:rFonts w:ascii="Arial" w:hAnsi="Arial" w:cs="Arial"/>
    </w:rPr>
  </w:style>
  <w:style w:type="paragraph" w:styleId="1018" w:customStyle="1">
    <w:name w:val="Стиль Times New Roman 14 пт По ширине Первая строка:  1.25 см С..."/>
    <w:basedOn w:val="758"/>
    <w:pPr>
      <w:ind w:right="-40" w:firstLine="709"/>
      <w:spacing w:after="0" w:line="240" w:lineRule="auto"/>
    </w:pPr>
    <w:rPr>
      <w:szCs w:val="20"/>
      <w:lang w:eastAsia="ar-SA"/>
    </w:rPr>
  </w:style>
  <w:style w:type="paragraph" w:styleId="1019" w:customStyle="1">
    <w:name w:val="u"/>
    <w:basedOn w:val="75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020" w:customStyle="1">
    <w:name w:val="uni"/>
    <w:basedOn w:val="758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1021" w:customStyle="1">
    <w:name w:val="apple-converted-space"/>
    <w:basedOn w:val="768"/>
  </w:style>
  <w:style w:type="paragraph" w:styleId="1022" w:customStyle="1">
    <w:name w:val="unip"/>
    <w:basedOn w:val="75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023" w:customStyle="1">
    <w:name w:val="formattext"/>
    <w:basedOn w:val="75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024" w:customStyle="1">
    <w:name w:val="Основной текст 0"/>
    <w:basedOn w:val="758"/>
    <w:pPr>
      <w:ind w:firstLine="539"/>
      <w:spacing w:after="0" w:line="240" w:lineRule="auto"/>
    </w:pPr>
    <w:rPr>
      <w:color w:val="000000"/>
      <w:sz w:val="24"/>
      <w:szCs w:val="24"/>
    </w:rPr>
  </w:style>
  <w:style w:type="paragraph" w:styleId="1025" w:customStyle="1">
    <w:name w:val="???????"/>
    <w:pPr>
      <w:ind w:firstLine="283"/>
      <w:spacing w:line="360" w:lineRule="auto"/>
    </w:pPr>
    <w:rPr>
      <w:rFonts w:ascii="Times New Roman" w:hAnsi="Times New Roman"/>
    </w:rPr>
  </w:style>
  <w:style w:type="character" w:styleId="1026" w:customStyle="1">
    <w:name w:val="blk"/>
    <w:basedOn w:val="768"/>
  </w:style>
  <w:style w:type="character" w:styleId="1027" w:customStyle="1">
    <w:name w:val="nobr"/>
    <w:basedOn w:val="768"/>
  </w:style>
  <w:style w:type="character" w:styleId="1028" w:customStyle="1">
    <w:name w:val="hl"/>
    <w:basedOn w:val="768"/>
  </w:style>
  <w:style w:type="paragraph" w:styleId="1029" w:customStyle="1">
    <w:name w:val="Знак"/>
    <w:basedOn w:val="75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styleId="1030">
    <w:name w:val="line number"/>
    <w:basedOn w:val="768"/>
    <w:uiPriority w:val="99"/>
    <w:semiHidden/>
    <w:unhideWhenUsed/>
  </w:style>
  <w:style w:type="paragraph" w:styleId="1031">
    <w:name w:val="footnote text"/>
    <w:basedOn w:val="758"/>
    <w:link w:val="1032"/>
    <w:semiHidden/>
    <w:pPr>
      <w:spacing w:after="0" w:line="240" w:lineRule="auto"/>
    </w:pPr>
    <w:rPr>
      <w:sz w:val="20"/>
      <w:szCs w:val="20"/>
    </w:rPr>
  </w:style>
  <w:style w:type="character" w:styleId="1032" w:customStyle="1">
    <w:name w:val="Текст сноски Знак"/>
    <w:link w:val="1031"/>
    <w:semiHidden/>
    <w:rPr>
      <w:rFonts w:ascii="Times New Roman" w:hAnsi="Times New Roman" w:eastAsia="Times New Roman" w:cs="Times New Roman"/>
      <w:sz w:val="20"/>
      <w:szCs w:val="20"/>
    </w:rPr>
  </w:style>
  <w:style w:type="character" w:styleId="1033">
    <w:name w:val="footnote reference"/>
    <w:semiHidden/>
    <w:rPr>
      <w:vertAlign w:val="superscript"/>
    </w:rPr>
  </w:style>
  <w:style w:type="character" w:styleId="1034" w:customStyle="1">
    <w:name w:val="Гипертекстовая ссылка"/>
    <w:uiPriority w:val="99"/>
    <w:rPr>
      <w:rFonts w:cs="Times New Roman"/>
      <w:color w:val="106bbe"/>
    </w:rPr>
  </w:style>
  <w:style w:type="character" w:styleId="1035" w:customStyle="1">
    <w:name w:val="ConsPlusNormal Знак"/>
    <w:link w:val="961"/>
    <w:rPr>
      <w:rFonts w:cs="Calibri"/>
      <w:sz w:val="22"/>
    </w:rPr>
  </w:style>
  <w:style w:type="paragraph" w:styleId="1036" w:customStyle="1">
    <w:name w:val="Список_черточки_1_ур"/>
    <w:basedOn w:val="758"/>
    <w:uiPriority w:val="99"/>
    <w:qFormat/>
    <w:pPr>
      <w:numPr>
        <w:ilvl w:val="0"/>
        <w:numId w:val="3"/>
      </w:numPr>
      <w:spacing w:after="0" w:line="240" w:lineRule="auto"/>
    </w:pPr>
    <w:rPr>
      <w:szCs w:val="24"/>
    </w:rPr>
  </w:style>
  <w:style w:type="table" w:styleId="1037" w:customStyle="1">
    <w:name w:val="Table Normal"/>
    <w:uiPriority w:val="2"/>
    <w:semiHidden/>
    <w:unhideWhenUsed/>
    <w:qFormat/>
    <w:pPr>
      <w:widowControl w:val="off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38" w:customStyle="1">
    <w:name w:val="Table Paragraph"/>
    <w:basedOn w:val="758"/>
    <w:uiPriority w:val="1"/>
    <w:qFormat/>
    <w:pPr>
      <w:jc w:val="left"/>
      <w:spacing w:after="0" w:line="240" w:lineRule="auto"/>
      <w:widowControl w:val="off"/>
    </w:pPr>
    <w:rPr>
      <w:sz w:val="22"/>
      <w:lang w:eastAsia="en-US"/>
    </w:rPr>
  </w:style>
  <w:style w:type="paragraph" w:styleId="1039" w:customStyle="1">
    <w:name w:val="Абзац"/>
    <w:link w:val="1040"/>
    <w:qFormat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styleId="1040" w:customStyle="1">
    <w:name w:val="Абзац Знак"/>
    <w:basedOn w:val="768"/>
    <w:link w:val="1039"/>
    <w:qFormat/>
    <w:rPr>
      <w:rFonts w:ascii="Times New Roman" w:hAnsi="Times New Roman"/>
      <w:sz w:val="24"/>
      <w:szCs w:val="24"/>
    </w:rPr>
  </w:style>
  <w:style w:type="paragraph" w:styleId="1041" w:customStyle="1">
    <w:name w:val="s_1"/>
    <w:basedOn w:val="758"/>
    <w:pPr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42" w:customStyle="1">
    <w:name w:val="western"/>
    <w:basedOn w:val="758"/>
    <w:pPr>
      <w:jc w:val="left"/>
      <w:spacing w:before="100" w:beforeAutospacing="1" w:after="119" w:line="240" w:lineRule="auto"/>
    </w:pPr>
    <w:rPr>
      <w:color w:val="000000"/>
      <w:sz w:val="24"/>
      <w:szCs w:val="24"/>
    </w:rPr>
  </w:style>
  <w:style w:type="paragraph" w:styleId="1043" w:customStyle="1">
    <w:name w:val="Стиль3"/>
    <w:basedOn w:val="761"/>
    <w:link w:val="1044"/>
    <w:pPr>
      <w:jc w:val="center"/>
      <w:spacing w:before="0" w:after="0"/>
      <w:widowControl/>
    </w:pPr>
    <w:rPr>
      <w:rFonts w:ascii="Times New Roman" w:hAnsi="Times New Roman" w:eastAsia="Arial Unicode MS"/>
      <w:sz w:val="24"/>
      <w:szCs w:val="24"/>
      <w:u w:val="single"/>
    </w:rPr>
  </w:style>
  <w:style w:type="character" w:styleId="1044" w:customStyle="1">
    <w:name w:val="Стиль3 Знак"/>
    <w:basedOn w:val="768"/>
    <w:link w:val="1043"/>
    <w:rPr>
      <w:rFonts w:ascii="Times New Roman" w:hAnsi="Times New Roman" w:eastAsia="Arial Unicode MS"/>
      <w:sz w:val="24"/>
      <w:szCs w:val="24"/>
      <w:u w:val="single"/>
    </w:rPr>
  </w:style>
  <w:style w:type="paragraph" w:styleId="1045" w:customStyle="1">
    <w:name w:val="Report_Tab"/>
    <w:basedOn w:val="758"/>
    <w:pPr>
      <w:jc w:val="left"/>
      <w:spacing w:after="0" w:line="240" w:lineRule="auto"/>
    </w:pPr>
    <w:rPr>
      <w:sz w:val="24"/>
      <w:szCs w:val="20"/>
    </w:rPr>
  </w:style>
  <w:style w:type="paragraph" w:styleId="1046" w:customStyle="1">
    <w:name w:val="ConsPlusCell"/>
    <w:pPr>
      <w:widowControl w:val="off"/>
    </w:pPr>
    <w:rPr>
      <w:rFonts w:ascii="Arial" w:hAnsi="Arial" w:cs="Arial"/>
    </w:rPr>
  </w:style>
  <w:style w:type="character" w:styleId="1047" w:customStyle="1">
    <w:name w:val="Font Style26"/>
    <w:basedOn w:val="768"/>
    <w:rPr>
      <w:rFonts w:ascii="Times New Roman" w:hAnsi="Times New Roman" w:cs="Times New Roman"/>
      <w:sz w:val="26"/>
      <w:szCs w:val="26"/>
    </w:rPr>
  </w:style>
  <w:style w:type="paragraph" w:styleId="1048" w:customStyle="1">
    <w:name w:val="Default"/>
    <w:rPr>
      <w:rFonts w:ascii="Times New Roman" w:hAnsi="Times New Roman"/>
      <w:color w:val="000000"/>
      <w:sz w:val="24"/>
      <w:szCs w:val="24"/>
    </w:rPr>
  </w:style>
  <w:style w:type="paragraph" w:styleId="1049">
    <w:name w:val="Body Text First Indent 2"/>
    <w:basedOn w:val="985"/>
    <w:link w:val="1050"/>
    <w:uiPriority w:val="99"/>
    <w:semiHidden/>
    <w:unhideWhenUsed/>
    <w:pPr>
      <w:ind w:left="360" w:firstLine="360"/>
      <w:spacing w:after="200" w:line="276" w:lineRule="auto"/>
    </w:pPr>
    <w:rPr>
      <w:sz w:val="28"/>
      <w:szCs w:val="22"/>
    </w:rPr>
  </w:style>
  <w:style w:type="character" w:styleId="1050" w:customStyle="1">
    <w:name w:val="Красная строка 2 Знак"/>
    <w:basedOn w:val="986"/>
    <w:link w:val="1049"/>
    <w:uiPriority w:val="99"/>
    <w:semiHidden/>
    <w:rPr>
      <w:rFonts w:ascii="Times New Roman" w:hAnsi="Times New Roman" w:eastAsia="Times New Roman" w:cs="Times New Roman"/>
      <w:sz w:val="28"/>
      <w:szCs w:val="22"/>
      <w:lang w:eastAsia="ru-RU"/>
    </w:rPr>
  </w:style>
  <w:style w:type="paragraph" w:styleId="1051" w:customStyle="1">
    <w:name w:val="Заглавие раздела"/>
    <w:basedOn w:val="760"/>
    <w:semiHidden/>
    <w:pPr>
      <w:ind w:left="1789" w:hanging="360"/>
      <w:jc w:val="center"/>
      <w:keepNext w:val="0"/>
      <w:spacing w:before="200" w:after="240" w:line="271" w:lineRule="auto"/>
      <w:tabs>
        <w:tab w:val="num" w:pos="1789" w:leader="none"/>
      </w:tabs>
    </w:pPr>
    <w:rPr>
      <w:rFonts w:ascii="Cambria" w:hAnsi="Cambria"/>
      <w:i/>
      <w:iCs/>
      <w:smallCaps/>
    </w:rPr>
  </w:style>
  <w:style w:type="paragraph" w:styleId="1052" w:customStyle="1">
    <w:name w:val="S_Обычный"/>
    <w:basedOn w:val="758"/>
    <w:link w:val="1053"/>
    <w:pPr>
      <w:ind w:firstLine="709"/>
      <w:jc w:val="left"/>
    </w:pPr>
    <w:rPr>
      <w:rFonts w:ascii="Cambria" w:hAnsi="Cambria"/>
      <w:sz w:val="24"/>
      <w:szCs w:val="24"/>
    </w:rPr>
  </w:style>
  <w:style w:type="character" w:styleId="1053" w:customStyle="1">
    <w:name w:val="S_Обычный Знак"/>
    <w:link w:val="1052"/>
    <w:rPr>
      <w:rFonts w:ascii="Cambria" w:hAnsi="Cambria"/>
      <w:sz w:val="24"/>
      <w:szCs w:val="24"/>
    </w:rPr>
  </w:style>
  <w:style w:type="paragraph" w:styleId="1054" w:customStyle="1">
    <w:name w:val="Основной текст 21"/>
    <w:basedOn w:val="758"/>
    <w:pPr>
      <w:ind w:firstLine="709"/>
      <w:spacing w:after="0" w:line="240" w:lineRule="auto"/>
    </w:pPr>
    <w:rPr>
      <w:szCs w:val="20"/>
    </w:rPr>
  </w:style>
  <w:style w:type="paragraph" w:styleId="1055" w:customStyle="1">
    <w:name w:val="Поясн.зап"/>
    <w:basedOn w:val="758"/>
    <w:pPr>
      <w:ind w:firstLine="284"/>
      <w:spacing w:after="0" w:line="240" w:lineRule="auto"/>
    </w:pPr>
    <w:rPr>
      <w:sz w:val="24"/>
      <w:szCs w:val="20"/>
    </w:rPr>
  </w:style>
  <w:style w:type="character" w:styleId="1056" w:customStyle="1">
    <w:name w:val="search_result"/>
    <w:basedOn w:val="768"/>
  </w:style>
  <w:style w:type="character" w:styleId="1057">
    <w:name w:val="Emphasis"/>
    <w:basedOn w:val="768"/>
    <w:uiPriority w:val="20"/>
    <w:qFormat/>
    <w:rPr>
      <w:i/>
      <w:iCs/>
    </w:rPr>
  </w:style>
  <w:style w:type="paragraph" w:styleId="1058" w:customStyle="1">
    <w:name w:val="Название таблицы"/>
    <w:basedOn w:val="1059"/>
    <w:pPr>
      <w:spacing w:before="120" w:after="0"/>
    </w:pPr>
    <w:rPr>
      <w:rFonts w:ascii="Tahoma" w:hAnsi="Tahoma" w:eastAsia="Calibri" w:cs="Tahoma"/>
      <w:color w:val="auto"/>
      <w:sz w:val="24"/>
      <w:szCs w:val="24"/>
    </w:rPr>
  </w:style>
  <w:style w:type="paragraph" w:styleId="1059">
    <w:name w:val="Caption"/>
    <w:basedOn w:val="758"/>
    <w:next w:val="758"/>
    <w:uiPriority w:val="35"/>
    <w:semiHidden/>
    <w:unhideWhenUsed/>
    <w:qFormat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1060" w:customStyle="1">
    <w:name w:val="Знак Знак Знак Знак"/>
    <w:basedOn w:val="758"/>
    <w:pPr>
      <w:jc w:val="left"/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1061">
    <w:name w:val="Body Text Indent 2"/>
    <w:basedOn w:val="758"/>
    <w:link w:val="1063"/>
    <w:uiPriority w:val="99"/>
    <w:pPr>
      <w:ind w:left="283"/>
      <w:jc w:val="left"/>
      <w:spacing w:after="120" w:line="480" w:lineRule="auto"/>
    </w:pPr>
    <w:rPr>
      <w:rFonts w:eastAsia="Calibri"/>
      <w:sz w:val="24"/>
      <w:szCs w:val="24"/>
    </w:rPr>
  </w:style>
  <w:style w:type="character" w:styleId="1062" w:customStyle="1">
    <w:name w:val="Основной текст с отступом 2 Знак"/>
    <w:basedOn w:val="768"/>
    <w:uiPriority w:val="99"/>
    <w:semiHidden/>
    <w:rPr>
      <w:rFonts w:ascii="Times New Roman" w:hAnsi="Times New Roman"/>
      <w:sz w:val="28"/>
      <w:szCs w:val="22"/>
    </w:rPr>
  </w:style>
  <w:style w:type="character" w:styleId="1063" w:customStyle="1">
    <w:name w:val="Основной текст с отступом 2 Знак1"/>
    <w:link w:val="1061"/>
    <w:uiPriority w:val="99"/>
    <w:rPr>
      <w:rFonts w:ascii="Times New Roman" w:hAnsi="Times New Roman" w:eastAsia="Calibri"/>
      <w:sz w:val="24"/>
      <w:szCs w:val="24"/>
    </w:rPr>
  </w:style>
  <w:style w:type="paragraph" w:styleId="1064" w:customStyle="1">
    <w:name w:val="Обычный (веб)1"/>
    <w:qFormat/>
    <w:pPr>
      <w:spacing w:before="280" w:after="28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/>
      <w:sz w:val="24"/>
      <w:szCs w:val="24"/>
      <w:lang w:eastAsia="zh-CN"/>
    </w:rPr>
  </w:style>
  <w:style w:type="paragraph" w:styleId="1065" w:customStyle="1">
    <w:name w:val="printj"/>
    <w:qFormat/>
    <w:pPr>
      <w:spacing w:before="280" w:after="28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/>
      <w:sz w:val="24"/>
      <w:szCs w:val="24"/>
      <w:lang w:eastAsia="zh-CN"/>
    </w:rPr>
  </w:style>
  <w:style w:type="paragraph" w:styleId="1066" w:customStyle="1">
    <w:name w:val="Основной текст с отступом 21"/>
    <w:qFormat/>
    <w:pPr>
      <w:ind w:left="283"/>
      <w:spacing w:after="120" w:line="48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 w:cs="Calibri"/>
      <w:sz w:val="24"/>
      <w:szCs w:val="24"/>
      <w:lang w:eastAsia="zh-CN"/>
    </w:rPr>
  </w:style>
  <w:style w:type="character" w:styleId="1067" w:customStyle="1">
    <w:name w:val="apple-style-span"/>
    <w:uiPriority w:val="99"/>
  </w:style>
  <w:style w:type="paragraph" w:styleId="1068" w:customStyle="1">
    <w:name w:val="Report"/>
    <w:qFormat/>
    <w:pPr>
      <w:ind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image" Target="media/image2.jpg"/><Relationship Id="rId13" Type="http://schemas.openxmlformats.org/officeDocument/2006/relationships/hyperlink" Target="https://ru.wikipedia.org/wiki/1752_%D0%B3%D0%BE%D0%B4" TargetMode="External"/><Relationship Id="rId14" Type="http://schemas.openxmlformats.org/officeDocument/2006/relationships/hyperlink" Target="https://ru.wikipedia.org/wiki/%D0%A2%D0%B0%D1%80%D1%81%D0%BA%D0%B8%D0%B9_%D1%83%D0%B5%D0%B7%D0%B4" TargetMode="External"/><Relationship Id="rId15" Type="http://schemas.openxmlformats.org/officeDocument/2006/relationships/hyperlink" Target="https://ru.wikipedia.org/wiki/%D0%94%D0%BE%D0%BD_(%D1%80%D0%B5%D0%BA%D0%B0)" TargetMode="External"/><Relationship Id="rId16" Type="http://schemas.openxmlformats.org/officeDocument/2006/relationships/hyperlink" Target="https://ru.wikipedia.org/wiki/%D0%A1%D0%B8%D0%B1%D0%B8%D1%80%D1%81%D0%BA%D0%B8%D0%B9_%D1%82%D1%80%D0%B0%D0%BA%D1%82" TargetMode="External"/><Relationship Id="rId17" Type="http://schemas.openxmlformats.org/officeDocument/2006/relationships/hyperlink" Target="https://ru.wikipedia.org/wiki/%D0%91%D0%B0%D0%B9%D0%BA%D0%B0%D0%BB_(%D0%B0%D0%B2%D1%82%D0%BE%D0%BC%D0%B0%D0%B3%D0%B8%D1%81%D1%82%D1%80%D0%B0%D0%BB%D1%8C)" TargetMode="External"/><Relationship Id="rId18" Type="http://schemas.openxmlformats.org/officeDocument/2006/relationships/hyperlink" Target="https://ru.wikipedia.org/wiki/%D0%9A%D0%B0%D1%80%D0%B0%D1%81%D1%83%D0%BA_(%D0%B3%D0%BE%D1%80%D0%BE%D0%B4)" TargetMode="External"/><Relationship Id="rId19" Type="http://schemas.openxmlformats.org/officeDocument/2006/relationships/hyperlink" Target="https://ru.wikipedia.org/wiki/17_%D0%B0%D0%BF%D1%80%D0%B5%D0%BB%D1%8F" TargetMode="External"/><Relationship Id="rId20" Type="http://schemas.openxmlformats.org/officeDocument/2006/relationships/hyperlink" Target="https://ru.wikipedia.org/wiki/1936_%D0%B3%D0%BE%D0%B4" TargetMode="External"/><Relationship Id="rId2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A49C4-275E-4FE4-8A59-93606176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ООО СибПроектНИИ ООО СибПроектНИИ</cp:lastModifiedBy>
  <cp:revision>99</cp:revision>
  <dcterms:created xsi:type="dcterms:W3CDTF">2022-10-26T06:35:00Z</dcterms:created>
  <dcterms:modified xsi:type="dcterms:W3CDTF">2023-11-02T05:07:49Z</dcterms:modified>
</cp:coreProperties>
</file>